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6BD35" w14:textId="405F72D3" w:rsidR="00C20A51" w:rsidRDefault="00C20A51" w:rsidP="00DD071B">
      <w:pPr>
        <w:spacing w:after="0" w:line="480" w:lineRule="auto"/>
        <w:jc w:val="center"/>
        <w:rPr>
          <w:rFonts w:ascii="Times New Roman" w:hAnsi="Times New Roman" w:cs="Times New Roman"/>
        </w:rPr>
      </w:pPr>
      <w:r>
        <w:rPr>
          <w:rFonts w:ascii="Times New Roman" w:hAnsi="Times New Roman" w:cs="Times New Roman"/>
        </w:rPr>
        <w:t>The New Knighthood on the Baltic:</w:t>
      </w:r>
    </w:p>
    <w:p w14:paraId="2559E020" w14:textId="56F0F468" w:rsidR="00C20A51" w:rsidRDefault="0083368A" w:rsidP="00DD071B">
      <w:pPr>
        <w:spacing w:after="0" w:line="480" w:lineRule="auto"/>
        <w:jc w:val="center"/>
        <w:rPr>
          <w:rFonts w:ascii="Times New Roman" w:hAnsi="Times New Roman" w:cs="Times New Roman"/>
        </w:rPr>
      </w:pPr>
      <w:r>
        <w:rPr>
          <w:rFonts w:ascii="Times New Roman" w:hAnsi="Times New Roman" w:cs="Times New Roman"/>
        </w:rPr>
        <w:t xml:space="preserve">An Examination </w:t>
      </w:r>
      <w:r w:rsidR="00C20A51">
        <w:rPr>
          <w:rFonts w:ascii="Times New Roman" w:hAnsi="Times New Roman" w:cs="Times New Roman"/>
        </w:rPr>
        <w:t xml:space="preserve">of the </w:t>
      </w:r>
      <w:r>
        <w:rPr>
          <w:rFonts w:ascii="Times New Roman" w:hAnsi="Times New Roman" w:cs="Times New Roman"/>
        </w:rPr>
        <w:t xml:space="preserve">Role of the </w:t>
      </w:r>
      <w:r w:rsidR="00C20A51">
        <w:rPr>
          <w:rFonts w:ascii="Times New Roman" w:hAnsi="Times New Roman" w:cs="Times New Roman"/>
        </w:rPr>
        <w:t>Teutonic Knights in the Northern Crusades</w:t>
      </w:r>
    </w:p>
    <w:p w14:paraId="34E78081" w14:textId="77777777" w:rsidR="00C20A51" w:rsidRDefault="00C20A51" w:rsidP="00DD071B">
      <w:pPr>
        <w:spacing w:after="0" w:line="480" w:lineRule="auto"/>
        <w:jc w:val="center"/>
        <w:rPr>
          <w:rFonts w:ascii="Times New Roman" w:hAnsi="Times New Roman" w:cs="Times New Roman"/>
        </w:rPr>
      </w:pPr>
    </w:p>
    <w:p w14:paraId="2FC4FA02" w14:textId="3FD80A39" w:rsidR="00C20A51" w:rsidRDefault="00C20A51" w:rsidP="00DD071B">
      <w:pPr>
        <w:spacing w:after="0" w:line="480" w:lineRule="auto"/>
        <w:jc w:val="center"/>
        <w:rPr>
          <w:rFonts w:ascii="Times New Roman" w:hAnsi="Times New Roman" w:cs="Times New Roman"/>
        </w:rPr>
      </w:pPr>
      <w:r>
        <w:rPr>
          <w:rFonts w:ascii="Times New Roman" w:hAnsi="Times New Roman" w:cs="Times New Roman"/>
        </w:rPr>
        <w:t>Dean Crick</w:t>
      </w:r>
    </w:p>
    <w:p w14:paraId="505CA9AF" w14:textId="77777777" w:rsidR="00E84C17" w:rsidRDefault="00E84C17" w:rsidP="00DD071B">
      <w:pPr>
        <w:spacing w:after="0" w:line="480" w:lineRule="auto"/>
        <w:jc w:val="center"/>
        <w:rPr>
          <w:rFonts w:ascii="Times New Roman" w:hAnsi="Times New Roman" w:cs="Times New Roman"/>
        </w:rPr>
      </w:pPr>
    </w:p>
    <w:p w14:paraId="5E138744" w14:textId="4E659877" w:rsidR="00E84C17" w:rsidRDefault="00B331A5" w:rsidP="00DD071B">
      <w:pPr>
        <w:spacing w:after="0" w:line="480" w:lineRule="auto"/>
        <w:jc w:val="center"/>
        <w:rPr>
          <w:rFonts w:ascii="Times New Roman" w:hAnsi="Times New Roman" w:cs="Times New Roman"/>
        </w:rPr>
      </w:pPr>
      <w:r>
        <w:rPr>
          <w:rFonts w:ascii="Times New Roman" w:hAnsi="Times New Roman" w:cs="Times New Roman"/>
        </w:rPr>
        <w:t>4-24-2026</w:t>
      </w:r>
    </w:p>
    <w:p w14:paraId="5E724D60" w14:textId="679BDE87" w:rsidR="00E84C17" w:rsidRDefault="00523F6A" w:rsidP="00DD071B">
      <w:pPr>
        <w:spacing w:after="0" w:line="480" w:lineRule="auto"/>
        <w:jc w:val="center"/>
        <w:rPr>
          <w:rFonts w:ascii="Times New Roman" w:hAnsi="Times New Roman" w:cs="Times New Roman"/>
        </w:rPr>
      </w:pPr>
      <w:r>
        <w:rPr>
          <w:rFonts w:ascii="Times New Roman" w:hAnsi="Times New Roman" w:cs="Times New Roman"/>
        </w:rPr>
        <w:t>HIST 299</w:t>
      </w:r>
    </w:p>
    <w:p w14:paraId="7D613594" w14:textId="6E16DCC2" w:rsidR="00E84C17" w:rsidRDefault="00E3799F" w:rsidP="00DD071B">
      <w:pPr>
        <w:spacing w:after="0" w:line="480" w:lineRule="auto"/>
        <w:jc w:val="center"/>
        <w:rPr>
          <w:rFonts w:ascii="Times New Roman" w:hAnsi="Times New Roman" w:cs="Times New Roman"/>
        </w:rPr>
      </w:pPr>
      <w:r>
        <w:rPr>
          <w:rFonts w:ascii="Times New Roman" w:hAnsi="Times New Roman" w:cs="Times New Roman"/>
        </w:rPr>
        <w:t>Dr. Ferrell</w:t>
      </w:r>
    </w:p>
    <w:p w14:paraId="70546F40" w14:textId="77777777" w:rsidR="00E84C17" w:rsidRDefault="00E84C17" w:rsidP="00DD071B">
      <w:pPr>
        <w:spacing w:after="0" w:line="480" w:lineRule="auto"/>
        <w:jc w:val="center"/>
        <w:rPr>
          <w:rFonts w:ascii="Times New Roman" w:hAnsi="Times New Roman" w:cs="Times New Roman"/>
        </w:rPr>
      </w:pPr>
    </w:p>
    <w:p w14:paraId="261AD48B" w14:textId="77777777" w:rsidR="00E84C17" w:rsidRDefault="00E84C17" w:rsidP="00DD071B">
      <w:pPr>
        <w:spacing w:after="0" w:line="480" w:lineRule="auto"/>
        <w:jc w:val="center"/>
        <w:rPr>
          <w:rFonts w:ascii="Times New Roman" w:hAnsi="Times New Roman" w:cs="Times New Roman"/>
        </w:rPr>
      </w:pPr>
    </w:p>
    <w:p w14:paraId="56FB95BF" w14:textId="77777777" w:rsidR="00E84C17" w:rsidRDefault="00E84C17" w:rsidP="00DD071B">
      <w:pPr>
        <w:spacing w:after="0" w:line="480" w:lineRule="auto"/>
        <w:jc w:val="center"/>
        <w:rPr>
          <w:rFonts w:ascii="Times New Roman" w:hAnsi="Times New Roman" w:cs="Times New Roman"/>
        </w:rPr>
      </w:pPr>
    </w:p>
    <w:p w14:paraId="57BED10C" w14:textId="77777777" w:rsidR="00E84C17" w:rsidRDefault="00E84C17" w:rsidP="00DD071B">
      <w:pPr>
        <w:spacing w:after="0" w:line="480" w:lineRule="auto"/>
        <w:jc w:val="center"/>
        <w:rPr>
          <w:rFonts w:ascii="Times New Roman" w:hAnsi="Times New Roman" w:cs="Times New Roman"/>
        </w:rPr>
      </w:pPr>
    </w:p>
    <w:p w14:paraId="521E06B2" w14:textId="77777777" w:rsidR="00E84C17" w:rsidRDefault="00E84C17" w:rsidP="00DD071B">
      <w:pPr>
        <w:spacing w:after="0" w:line="480" w:lineRule="auto"/>
        <w:jc w:val="center"/>
        <w:rPr>
          <w:rFonts w:ascii="Times New Roman" w:hAnsi="Times New Roman" w:cs="Times New Roman"/>
        </w:rPr>
      </w:pPr>
    </w:p>
    <w:p w14:paraId="761576E0" w14:textId="77777777" w:rsidR="00E84C17" w:rsidRDefault="00E84C17" w:rsidP="00DD071B">
      <w:pPr>
        <w:spacing w:after="0" w:line="480" w:lineRule="auto"/>
        <w:jc w:val="center"/>
        <w:rPr>
          <w:rFonts w:ascii="Times New Roman" w:hAnsi="Times New Roman" w:cs="Times New Roman"/>
        </w:rPr>
      </w:pPr>
    </w:p>
    <w:p w14:paraId="7B972903" w14:textId="77777777" w:rsidR="00E84C17" w:rsidRDefault="00E84C17" w:rsidP="00DD071B">
      <w:pPr>
        <w:spacing w:after="0" w:line="480" w:lineRule="auto"/>
        <w:jc w:val="center"/>
        <w:rPr>
          <w:rFonts w:ascii="Times New Roman" w:hAnsi="Times New Roman" w:cs="Times New Roman"/>
        </w:rPr>
      </w:pPr>
    </w:p>
    <w:p w14:paraId="2734F01A" w14:textId="77777777" w:rsidR="00E84C17" w:rsidRDefault="00E84C17" w:rsidP="00DD071B">
      <w:pPr>
        <w:spacing w:after="0" w:line="480" w:lineRule="auto"/>
        <w:jc w:val="center"/>
        <w:rPr>
          <w:rFonts w:ascii="Times New Roman" w:hAnsi="Times New Roman" w:cs="Times New Roman"/>
        </w:rPr>
      </w:pPr>
    </w:p>
    <w:p w14:paraId="58142E8A" w14:textId="77777777" w:rsidR="00E84C17" w:rsidRDefault="00E84C17" w:rsidP="00DD071B">
      <w:pPr>
        <w:spacing w:after="0" w:line="480" w:lineRule="auto"/>
        <w:jc w:val="center"/>
        <w:rPr>
          <w:rFonts w:ascii="Times New Roman" w:hAnsi="Times New Roman" w:cs="Times New Roman"/>
        </w:rPr>
      </w:pPr>
    </w:p>
    <w:p w14:paraId="50778848" w14:textId="77777777" w:rsidR="00E84C17" w:rsidRDefault="00E84C17" w:rsidP="00DD071B">
      <w:pPr>
        <w:spacing w:after="0" w:line="480" w:lineRule="auto"/>
        <w:jc w:val="center"/>
        <w:rPr>
          <w:rFonts w:ascii="Times New Roman" w:hAnsi="Times New Roman" w:cs="Times New Roman"/>
        </w:rPr>
      </w:pPr>
    </w:p>
    <w:p w14:paraId="5DD4DDEC" w14:textId="77777777" w:rsidR="00E84C17" w:rsidRDefault="00E84C17" w:rsidP="00DD071B">
      <w:pPr>
        <w:spacing w:after="0" w:line="480" w:lineRule="auto"/>
        <w:jc w:val="center"/>
        <w:rPr>
          <w:rFonts w:ascii="Times New Roman" w:hAnsi="Times New Roman" w:cs="Times New Roman"/>
        </w:rPr>
      </w:pPr>
    </w:p>
    <w:p w14:paraId="5DA1F077" w14:textId="77777777" w:rsidR="00E84C17" w:rsidRDefault="00E84C17" w:rsidP="00DD071B">
      <w:pPr>
        <w:spacing w:after="0" w:line="480" w:lineRule="auto"/>
        <w:jc w:val="center"/>
        <w:rPr>
          <w:rFonts w:ascii="Times New Roman" w:hAnsi="Times New Roman" w:cs="Times New Roman"/>
        </w:rPr>
      </w:pPr>
    </w:p>
    <w:p w14:paraId="26FFF624" w14:textId="77777777" w:rsidR="00E84C17" w:rsidRDefault="00E84C17" w:rsidP="00DD071B">
      <w:pPr>
        <w:spacing w:after="0" w:line="480" w:lineRule="auto"/>
        <w:jc w:val="center"/>
        <w:rPr>
          <w:rFonts w:ascii="Times New Roman" w:hAnsi="Times New Roman" w:cs="Times New Roman"/>
        </w:rPr>
      </w:pPr>
    </w:p>
    <w:p w14:paraId="468101B7" w14:textId="77777777" w:rsidR="00E84C17" w:rsidRDefault="00E84C17" w:rsidP="00DD071B">
      <w:pPr>
        <w:spacing w:after="0" w:line="480" w:lineRule="auto"/>
        <w:jc w:val="center"/>
        <w:rPr>
          <w:rFonts w:ascii="Times New Roman" w:hAnsi="Times New Roman" w:cs="Times New Roman"/>
        </w:rPr>
      </w:pPr>
    </w:p>
    <w:p w14:paraId="4E1C3051" w14:textId="77777777" w:rsidR="00E84C17" w:rsidRDefault="00E84C17" w:rsidP="00DD071B">
      <w:pPr>
        <w:spacing w:after="0" w:line="480" w:lineRule="auto"/>
        <w:jc w:val="center"/>
        <w:rPr>
          <w:rFonts w:ascii="Times New Roman" w:hAnsi="Times New Roman" w:cs="Times New Roman"/>
        </w:rPr>
      </w:pPr>
    </w:p>
    <w:p w14:paraId="1FE831BC" w14:textId="33BDA92C" w:rsidR="00E84C17" w:rsidRPr="00CF1DAB" w:rsidRDefault="00CF1DAB" w:rsidP="00CF1DAB">
      <w:pPr>
        <w:spacing w:after="0" w:line="480" w:lineRule="auto"/>
        <w:jc w:val="center"/>
        <w:rPr>
          <w:rFonts w:ascii="Times New Roman" w:hAnsi="Times New Roman" w:cs="Times New Roman"/>
          <w:b/>
          <w:bCs/>
        </w:rPr>
      </w:pPr>
      <w:r>
        <w:rPr>
          <w:rFonts w:ascii="Times New Roman" w:hAnsi="Times New Roman" w:cs="Times New Roman"/>
          <w:b/>
          <w:bCs/>
        </w:rPr>
        <w:lastRenderedPageBreak/>
        <w:t>Abstract</w:t>
      </w:r>
    </w:p>
    <w:p w14:paraId="36CF7D51" w14:textId="250D6C67" w:rsidR="00840055" w:rsidRDefault="00667C9F" w:rsidP="003616EA">
      <w:pPr>
        <w:spacing w:after="0" w:line="480" w:lineRule="auto"/>
        <w:ind w:firstLine="720"/>
        <w:rPr>
          <w:rFonts w:ascii="Times New Roman" w:hAnsi="Times New Roman" w:cs="Times New Roman"/>
        </w:rPr>
      </w:pPr>
      <w:r>
        <w:rPr>
          <w:rFonts w:ascii="Times New Roman" w:hAnsi="Times New Roman" w:cs="Times New Roman"/>
        </w:rPr>
        <w:t>R</w:t>
      </w:r>
      <w:r w:rsidR="006A441C">
        <w:rPr>
          <w:rFonts w:ascii="Times New Roman" w:hAnsi="Times New Roman" w:cs="Times New Roman"/>
        </w:rPr>
        <w:t>eligious</w:t>
      </w:r>
      <w:r w:rsidR="00FE47C9">
        <w:rPr>
          <w:rFonts w:ascii="Times New Roman" w:hAnsi="Times New Roman" w:cs="Times New Roman"/>
        </w:rPr>
        <w:t xml:space="preserve"> </w:t>
      </w:r>
      <w:r>
        <w:rPr>
          <w:rFonts w:ascii="Times New Roman" w:hAnsi="Times New Roman" w:cs="Times New Roman"/>
        </w:rPr>
        <w:t>orders of knights</w:t>
      </w:r>
      <w:r w:rsidR="00FE47C9">
        <w:rPr>
          <w:rFonts w:ascii="Times New Roman" w:hAnsi="Times New Roman" w:cs="Times New Roman"/>
        </w:rPr>
        <w:t xml:space="preserve"> took on an important role in the defense of the Holy Land because of the shortage of Christian manpower in the region to effectively defend the Crusader states. This manpower shortage meant that the</w:t>
      </w:r>
      <w:r w:rsidR="00C463F8">
        <w:rPr>
          <w:rFonts w:ascii="Times New Roman" w:hAnsi="Times New Roman" w:cs="Times New Roman"/>
        </w:rPr>
        <w:t xml:space="preserve"> Crusader states</w:t>
      </w:r>
      <w:r w:rsidR="00FE47C9">
        <w:rPr>
          <w:rFonts w:ascii="Times New Roman" w:hAnsi="Times New Roman" w:cs="Times New Roman"/>
        </w:rPr>
        <w:t xml:space="preserve"> needed constant reinforcement from other Christian powers, but these powers could not always provide </w:t>
      </w:r>
      <w:r w:rsidR="006A441C">
        <w:rPr>
          <w:rFonts w:ascii="Times New Roman" w:hAnsi="Times New Roman" w:cs="Times New Roman"/>
        </w:rPr>
        <w:t>aid</w:t>
      </w:r>
      <w:r w:rsidR="00FE47C9">
        <w:rPr>
          <w:rFonts w:ascii="Times New Roman" w:hAnsi="Times New Roman" w:cs="Times New Roman"/>
        </w:rPr>
        <w:t xml:space="preserve"> because of the distance between them and the Holy Land and because they frequently had higher priorities than crusading. So instead, the </w:t>
      </w:r>
      <w:r>
        <w:rPr>
          <w:rFonts w:ascii="Times New Roman" w:hAnsi="Times New Roman" w:cs="Times New Roman"/>
        </w:rPr>
        <w:t xml:space="preserve">religious </w:t>
      </w:r>
      <w:r w:rsidR="00FE47C9">
        <w:rPr>
          <w:rFonts w:ascii="Times New Roman" w:hAnsi="Times New Roman" w:cs="Times New Roman"/>
        </w:rPr>
        <w:t xml:space="preserve">military orders filled this need by recruiting men in Europe, filling out armies in the Crusader states, and garrisoning castles on the frontier. Despite their vital role in the Holy Land, however, they were always subordinate to the secular rulers of the Crusader states. </w:t>
      </w:r>
      <w:r w:rsidR="006D29FD">
        <w:rPr>
          <w:rFonts w:ascii="Times New Roman" w:hAnsi="Times New Roman" w:cs="Times New Roman"/>
        </w:rPr>
        <w:t xml:space="preserve">In the Northern Crusades, the Teutonic Knights </w:t>
      </w:r>
      <w:r w:rsidR="007A7F06">
        <w:rPr>
          <w:rFonts w:ascii="Times New Roman" w:hAnsi="Times New Roman" w:cs="Times New Roman"/>
        </w:rPr>
        <w:t xml:space="preserve">played a significant role but were not the only participants nor the most significant ones. </w:t>
      </w:r>
      <w:r w:rsidR="006D29FD">
        <w:rPr>
          <w:rFonts w:ascii="Times New Roman" w:hAnsi="Times New Roman" w:cs="Times New Roman"/>
        </w:rPr>
        <w:t>And yet</w:t>
      </w:r>
      <w:r w:rsidR="00EB7041">
        <w:rPr>
          <w:rFonts w:ascii="Times New Roman" w:hAnsi="Times New Roman" w:cs="Times New Roman"/>
        </w:rPr>
        <w:t xml:space="preserve"> after these Crusades were complete</w:t>
      </w:r>
      <w:r w:rsidR="006D29FD">
        <w:rPr>
          <w:rFonts w:ascii="Times New Roman" w:hAnsi="Times New Roman" w:cs="Times New Roman"/>
        </w:rPr>
        <w:t>, the Teutonic Knights were in control of the entire region of Prussia, independent of any foreign power except for a singular bishopric, and most of Livonia with only some power-sharing with the papacy and Denmark.</w:t>
      </w:r>
      <w:r w:rsidR="000419DC">
        <w:rPr>
          <w:rFonts w:ascii="Times New Roman" w:hAnsi="Times New Roman" w:cs="Times New Roman"/>
        </w:rPr>
        <w:t xml:space="preserve"> T</w:t>
      </w:r>
      <w:r w:rsidR="00CF1DAB">
        <w:rPr>
          <w:rFonts w:ascii="Times New Roman" w:hAnsi="Times New Roman" w:cs="Times New Roman"/>
        </w:rPr>
        <w:t>he</w:t>
      </w:r>
      <w:r w:rsidR="00E947C4">
        <w:rPr>
          <w:rFonts w:ascii="Times New Roman" w:hAnsi="Times New Roman" w:cs="Times New Roman"/>
        </w:rPr>
        <w:t>ir</w:t>
      </w:r>
      <w:r w:rsidR="00CF1DAB">
        <w:rPr>
          <w:rFonts w:ascii="Times New Roman" w:hAnsi="Times New Roman" w:cs="Times New Roman"/>
        </w:rPr>
        <w:t xml:space="preserve"> success can be linked to two primary reasons: the difficulties of controlling the conquered regions and the other interests that distract</w:t>
      </w:r>
      <w:r w:rsidR="000419DC">
        <w:rPr>
          <w:rFonts w:ascii="Times New Roman" w:hAnsi="Times New Roman" w:cs="Times New Roman"/>
        </w:rPr>
        <w:t>ed</w:t>
      </w:r>
      <w:r w:rsidR="00CF1DAB">
        <w:rPr>
          <w:rFonts w:ascii="Times New Roman" w:hAnsi="Times New Roman" w:cs="Times New Roman"/>
        </w:rPr>
        <w:t xml:space="preserve"> the secular powers from undertaking these difficulties.</w:t>
      </w:r>
    </w:p>
    <w:p w14:paraId="7EAE5A9A" w14:textId="7345947E" w:rsidR="006638E7" w:rsidRPr="003616EA" w:rsidRDefault="006638E7" w:rsidP="003616EA">
      <w:pPr>
        <w:spacing w:after="0" w:line="480" w:lineRule="auto"/>
        <w:ind w:firstLine="720"/>
        <w:rPr>
          <w:rFonts w:ascii="Times New Roman" w:hAnsi="Times New Roman" w:cs="Times New Roman"/>
        </w:rPr>
        <w:sectPr w:rsidR="006638E7" w:rsidRPr="003616EA" w:rsidSect="00F76F87">
          <w:headerReference w:type="default" r:id="rId8"/>
          <w:pgSz w:w="12240" w:h="15840"/>
          <w:pgMar w:top="1440" w:right="1440" w:bottom="1440" w:left="1440" w:header="720" w:footer="720" w:gutter="0"/>
          <w:pgNumType w:start="0"/>
          <w:cols w:space="720"/>
          <w:docGrid w:linePitch="360"/>
        </w:sectPr>
      </w:pPr>
    </w:p>
    <w:p w14:paraId="34845E9F" w14:textId="6055A01C" w:rsidR="001A283D" w:rsidRDefault="001C6F6B" w:rsidP="00917CFC">
      <w:pPr>
        <w:spacing w:after="0" w:line="480" w:lineRule="auto"/>
        <w:ind w:firstLine="720"/>
        <w:rPr>
          <w:rFonts w:ascii="Times New Roman" w:hAnsi="Times New Roman" w:cs="Times New Roman"/>
        </w:rPr>
      </w:pPr>
      <w:r>
        <w:rPr>
          <w:rFonts w:ascii="Times New Roman" w:hAnsi="Times New Roman" w:cs="Times New Roman"/>
        </w:rPr>
        <w:lastRenderedPageBreak/>
        <w:t xml:space="preserve">In the early </w:t>
      </w:r>
      <w:r w:rsidR="00D96603">
        <w:rPr>
          <w:rFonts w:ascii="Times New Roman" w:hAnsi="Times New Roman" w:cs="Times New Roman"/>
        </w:rPr>
        <w:t>twelfth</w:t>
      </w:r>
      <w:r>
        <w:rPr>
          <w:rFonts w:ascii="Times New Roman" w:hAnsi="Times New Roman" w:cs="Times New Roman"/>
        </w:rPr>
        <w:t xml:space="preserve"> century</w:t>
      </w:r>
      <w:r w:rsidR="00CF3817">
        <w:rPr>
          <w:rFonts w:ascii="Times New Roman" w:hAnsi="Times New Roman" w:cs="Times New Roman"/>
        </w:rPr>
        <w:t xml:space="preserve"> after the First Crusade</w:t>
      </w:r>
      <w:r w:rsidR="00D96603">
        <w:rPr>
          <w:rFonts w:ascii="Times New Roman" w:hAnsi="Times New Roman" w:cs="Times New Roman"/>
        </w:rPr>
        <w:t>,</w:t>
      </w:r>
      <w:r>
        <w:rPr>
          <w:rFonts w:ascii="Times New Roman" w:hAnsi="Times New Roman" w:cs="Times New Roman"/>
        </w:rPr>
        <w:t xml:space="preserve"> Bernard of Clairvaux</w:t>
      </w:r>
      <w:r w:rsidR="003F7B3F">
        <w:rPr>
          <w:rFonts w:ascii="Times New Roman" w:hAnsi="Times New Roman" w:cs="Times New Roman"/>
        </w:rPr>
        <w:t>—</w:t>
      </w:r>
      <w:r w:rsidR="007356E5">
        <w:rPr>
          <w:rFonts w:ascii="Times New Roman" w:hAnsi="Times New Roman" w:cs="Times New Roman"/>
        </w:rPr>
        <w:t>later St. Bernard</w:t>
      </w:r>
      <w:r w:rsidR="003F7B3F">
        <w:rPr>
          <w:rFonts w:ascii="Times New Roman" w:hAnsi="Times New Roman" w:cs="Times New Roman"/>
        </w:rPr>
        <w:t>—</w:t>
      </w:r>
      <w:r w:rsidR="00394224">
        <w:rPr>
          <w:rFonts w:ascii="Times New Roman" w:hAnsi="Times New Roman" w:cs="Times New Roman"/>
        </w:rPr>
        <w:t>wrote a</w:t>
      </w:r>
      <w:r w:rsidR="007356E5">
        <w:rPr>
          <w:rFonts w:ascii="Times New Roman" w:hAnsi="Times New Roman" w:cs="Times New Roman"/>
        </w:rPr>
        <w:t xml:space="preserve"> treatise</w:t>
      </w:r>
      <w:r w:rsidR="002A7307">
        <w:rPr>
          <w:rFonts w:ascii="Times New Roman" w:hAnsi="Times New Roman" w:cs="Times New Roman"/>
        </w:rPr>
        <w:t xml:space="preserve"> on the Knights Templar</w:t>
      </w:r>
      <w:r w:rsidR="007356E5">
        <w:rPr>
          <w:rFonts w:ascii="Times New Roman" w:hAnsi="Times New Roman" w:cs="Times New Roman"/>
        </w:rPr>
        <w:t xml:space="preserve"> titled </w:t>
      </w:r>
      <w:r w:rsidR="007356E5">
        <w:rPr>
          <w:rFonts w:ascii="Times New Roman" w:hAnsi="Times New Roman" w:cs="Times New Roman"/>
          <w:i/>
          <w:iCs/>
        </w:rPr>
        <w:t>In Praise of the New Knighthood</w:t>
      </w:r>
      <w:r w:rsidR="00394224">
        <w:rPr>
          <w:rFonts w:ascii="Times New Roman" w:hAnsi="Times New Roman" w:cs="Times New Roman"/>
        </w:rPr>
        <w:t xml:space="preserve">. </w:t>
      </w:r>
      <w:r w:rsidR="008C3569">
        <w:rPr>
          <w:rFonts w:ascii="Times New Roman" w:hAnsi="Times New Roman" w:cs="Times New Roman"/>
        </w:rPr>
        <w:t>In it he declared that “a new knighthood has recently appeared on the earth,” one that “</w:t>
      </w:r>
      <w:r w:rsidR="008C3569" w:rsidRPr="008C3569">
        <w:rPr>
          <w:rFonts w:ascii="Times New Roman" w:hAnsi="Times New Roman" w:cs="Times New Roman"/>
        </w:rPr>
        <w:t>may safely fight the battles of their Lord, fearing neither sin if they smite the enemy, nor danger at their own death</w:t>
      </w:r>
      <w:r w:rsidR="008C3569">
        <w:rPr>
          <w:rFonts w:ascii="Times New Roman" w:hAnsi="Times New Roman" w:cs="Times New Roman"/>
        </w:rPr>
        <w:t xml:space="preserve">” unlike the “worldly knighthood” who can achieve </w:t>
      </w:r>
      <w:r w:rsidR="002A7307">
        <w:rPr>
          <w:rFonts w:ascii="Times New Roman" w:hAnsi="Times New Roman" w:cs="Times New Roman"/>
        </w:rPr>
        <w:t xml:space="preserve">only </w:t>
      </w:r>
      <w:r w:rsidR="008C3569">
        <w:rPr>
          <w:rFonts w:ascii="Times New Roman" w:hAnsi="Times New Roman" w:cs="Times New Roman"/>
        </w:rPr>
        <w:t>“</w:t>
      </w:r>
      <w:r w:rsidR="008C3569" w:rsidRPr="008C3569">
        <w:rPr>
          <w:rFonts w:ascii="Times New Roman" w:hAnsi="Times New Roman" w:cs="Times New Roman"/>
        </w:rPr>
        <w:t>the mortal sin of the victor and the eternal death of the vanquished</w:t>
      </w:r>
      <w:r w:rsidR="00993FAA">
        <w:rPr>
          <w:rFonts w:ascii="Times New Roman" w:hAnsi="Times New Roman" w:cs="Times New Roman"/>
        </w:rPr>
        <w:t>.”</w:t>
      </w:r>
      <w:r w:rsidR="001A283D" w:rsidRPr="007A6AF4">
        <w:rPr>
          <w:rStyle w:val="FootnoteReference"/>
          <w:rFonts w:ascii="Times New Roman" w:hAnsi="Times New Roman" w:cs="Times New Roman"/>
        </w:rPr>
        <w:footnoteReference w:id="1"/>
      </w:r>
      <w:r w:rsidR="001A283D">
        <w:rPr>
          <w:rFonts w:ascii="Times New Roman" w:hAnsi="Times New Roman" w:cs="Times New Roman"/>
        </w:rPr>
        <w:t xml:space="preserve"> In Bernard’s view, </w:t>
      </w:r>
      <w:r w:rsidR="001A283D">
        <w:rPr>
          <w:rFonts w:ascii="Times New Roman" w:hAnsi="Times New Roman" w:cs="Times New Roman"/>
        </w:rPr>
        <w:t>the worldly knighthood was secular knights</w:t>
      </w:r>
      <w:r w:rsidR="001A283D">
        <w:rPr>
          <w:rFonts w:ascii="Times New Roman" w:hAnsi="Times New Roman" w:cs="Times New Roman"/>
        </w:rPr>
        <w:t xml:space="preserve"> while the new knighthood was the institution of the religious military order then embodied in the Templars. The new knighthood was to become one of the defining features of the Crusades.</w:t>
      </w:r>
    </w:p>
    <w:p w14:paraId="28C55767" w14:textId="3C83C5EA" w:rsidR="001A283D" w:rsidRDefault="001A283D" w:rsidP="002A7307">
      <w:pPr>
        <w:spacing w:after="0" w:line="480" w:lineRule="auto"/>
        <w:rPr>
          <w:rFonts w:ascii="Times New Roman" w:hAnsi="Times New Roman" w:cs="Times New Roman"/>
        </w:rPr>
      </w:pPr>
      <w:r>
        <w:rPr>
          <w:rFonts w:ascii="Times New Roman" w:hAnsi="Times New Roman" w:cs="Times New Roman"/>
        </w:rPr>
        <w:tab/>
        <w:t>The Templars were not alone among Bernard’s new knighthood. The Hospital of St. John of Jerusalem was militarized in the mid-twelfth century, its members later to be known as the Knights Hospitaller. These Templars and the Hospitallers were the two most important military orders in the Crusades to the Holy Land, but several other orders also had their roots there. Among them, the Hospital of St. Mary of the German House in Jerusalem was militarized at the very end of the twelfth century, its members later to be known as the Teutonic Knights.</w:t>
      </w:r>
      <w:r>
        <w:rPr>
          <w:rStyle w:val="FootnoteReference"/>
          <w:rFonts w:ascii="Times New Roman" w:hAnsi="Times New Roman" w:cs="Times New Roman"/>
        </w:rPr>
        <w:footnoteReference w:id="2"/>
      </w:r>
    </w:p>
    <w:p w14:paraId="4185DF2C" w14:textId="5F394F44" w:rsidR="001A283D" w:rsidRDefault="001A283D" w:rsidP="00BA6524">
      <w:pPr>
        <w:spacing w:after="0" w:line="480" w:lineRule="auto"/>
        <w:rPr>
          <w:rFonts w:ascii="Times New Roman" w:hAnsi="Times New Roman" w:cs="Times New Roman"/>
        </w:rPr>
      </w:pPr>
      <w:r>
        <w:rPr>
          <w:rFonts w:ascii="Times New Roman" w:hAnsi="Times New Roman" w:cs="Times New Roman"/>
        </w:rPr>
        <w:tab/>
        <w:t xml:space="preserve">The military orders took on an important role in the defense of the Holy Land because of the shortage of Christian manpower in the region to effectively defend the Crusader states from the neighboring Muslim powers. This manpower shortage meant that there was a constant need for reinforcement from other Christian powers, but these powers could not always provide aid because of the distance between them and the Holy Land and because they frequently had crises at home that took precedence over crusading. So instead, the military orders filled this need by </w:t>
      </w:r>
      <w:r>
        <w:rPr>
          <w:rFonts w:ascii="Times New Roman" w:hAnsi="Times New Roman" w:cs="Times New Roman"/>
        </w:rPr>
        <w:lastRenderedPageBreak/>
        <w:t>recruiting men in Europe, filling out armies in the Crusader states, and garrisoning castles on the frontier.</w:t>
      </w:r>
      <w:r>
        <w:rPr>
          <w:rStyle w:val="FootnoteReference"/>
          <w:rFonts w:ascii="Times New Roman" w:hAnsi="Times New Roman" w:cs="Times New Roman"/>
        </w:rPr>
        <w:footnoteReference w:id="3"/>
      </w:r>
      <w:r>
        <w:rPr>
          <w:rFonts w:ascii="Times New Roman" w:hAnsi="Times New Roman" w:cs="Times New Roman"/>
        </w:rPr>
        <w:t xml:space="preserve"> Despite their vital role in the Holy Land, however, they were always subordinate to the secular rulers of the Crusader states.</w:t>
      </w:r>
    </w:p>
    <w:p w14:paraId="63564B82" w14:textId="47E48701" w:rsidR="001A283D" w:rsidRPr="00C85FAF" w:rsidRDefault="001A283D" w:rsidP="00C85FAF">
      <w:pPr>
        <w:spacing w:after="0" w:line="480" w:lineRule="auto"/>
        <w:ind w:firstLine="720"/>
        <w:rPr>
          <w:rFonts w:ascii="Times New Roman" w:hAnsi="Times New Roman" w:cs="Times New Roman"/>
        </w:rPr>
      </w:pPr>
      <w:r>
        <w:rPr>
          <w:rFonts w:ascii="Times New Roman" w:hAnsi="Times New Roman" w:cs="Times New Roman"/>
        </w:rPr>
        <w:t xml:space="preserve">In the Northern Crusades, the Teutonic Knights were significant participants but by no means were they alone. These Crusades had been in progress since the beginning of the thirteenth century, long before 1226 when the Teutonic Knights first began to become involved in Baltic affairs, and were being waged by the dukes of Poland, the king of Denmark, the king of Sweden, the various princes of Germany, and other military orders (most notably the Sword Brothers in Livonia, but also the Knights of </w:t>
      </w:r>
      <w:proofErr w:type="spellStart"/>
      <w:r>
        <w:rPr>
          <w:rFonts w:ascii="Times New Roman" w:hAnsi="Times New Roman" w:cs="Times New Roman"/>
        </w:rPr>
        <w:t>Dobrzyn</w:t>
      </w:r>
      <w:proofErr w:type="spellEnd"/>
      <w:r>
        <w:rPr>
          <w:rFonts w:ascii="Times New Roman" w:hAnsi="Times New Roman" w:cs="Times New Roman"/>
        </w:rPr>
        <w:t>). And yet after these Crusades were complete, the Teutonic Knights were in control of the entire region of Prussia, independent of any foreign power except for a singular bishopric, and most of Livonia with only some power-sharing with the papacy and Denmark.</w:t>
      </w:r>
      <w:r>
        <w:rPr>
          <w:rStyle w:val="FootnoteReference"/>
          <w:rFonts w:ascii="Times New Roman" w:hAnsi="Times New Roman" w:cs="Times New Roman"/>
        </w:rPr>
        <w:footnoteReference w:id="4"/>
      </w:r>
      <w:r>
        <w:rPr>
          <w:rFonts w:ascii="Times New Roman" w:hAnsi="Times New Roman" w:cs="Times New Roman"/>
        </w:rPr>
        <w:t xml:space="preserve"> The reasons for the Teutonic Knights’ significant role in the Northern Crusades when compared to the role of military orders in other Crusades, was the difficulties for secular powers in controlling the regions conquered during these Crusades and the potential for secular powers to become distracted by other crises and priorities.</w:t>
      </w:r>
    </w:p>
    <w:p w14:paraId="0B595EB0" w14:textId="50ED289C"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Poland serves as an excellent case study for the examining these reasons. The Teutonic Knights entered into the Northern Crusades for a similar reason that the military orders had become so significant in the first place: assistance in defending the domains of secular rulers.</w:t>
      </w:r>
      <w:r w:rsidRPr="009A7726">
        <w:rPr>
          <w:rFonts w:ascii="Times New Roman" w:hAnsi="Times New Roman" w:cs="Times New Roman"/>
        </w:rPr>
        <w:t xml:space="preserve"> </w:t>
      </w:r>
      <w:r>
        <w:rPr>
          <w:rFonts w:ascii="Times New Roman" w:hAnsi="Times New Roman" w:cs="Times New Roman"/>
        </w:rPr>
        <w:t xml:space="preserve">Since the death of Boleslaw I in the twelfth century, Poland had been on a steady path of territorial division. By the start of the thirteenth century, the domain that Boleslaw had ruled was </w:t>
      </w:r>
      <w:r>
        <w:rPr>
          <w:rFonts w:ascii="Times New Roman" w:hAnsi="Times New Roman" w:cs="Times New Roman"/>
        </w:rPr>
        <w:lastRenderedPageBreak/>
        <w:t>divided into five separate parts.</w:t>
      </w:r>
      <w:r>
        <w:rPr>
          <w:rStyle w:val="FootnoteReference"/>
          <w:rFonts w:ascii="Times New Roman" w:hAnsi="Times New Roman" w:cs="Times New Roman"/>
        </w:rPr>
        <w:footnoteReference w:id="5"/>
      </w:r>
      <w:r>
        <w:rPr>
          <w:rFonts w:ascii="Times New Roman" w:hAnsi="Times New Roman" w:cs="Times New Roman"/>
        </w:rPr>
        <w:t xml:space="preserve"> Seeking to expand and secure their domains, Duke Conrad of Mazovia and Duke </w:t>
      </w:r>
      <w:proofErr w:type="spellStart"/>
      <w:r>
        <w:rPr>
          <w:rFonts w:ascii="Times New Roman" w:hAnsi="Times New Roman" w:cs="Times New Roman"/>
        </w:rPr>
        <w:t>Swantopelk</w:t>
      </w:r>
      <w:proofErr w:type="spellEnd"/>
      <w:r>
        <w:rPr>
          <w:rFonts w:ascii="Times New Roman" w:hAnsi="Times New Roman" w:cs="Times New Roman"/>
        </w:rPr>
        <w:t xml:space="preserve"> of Pomerania organized small Crusades to Prussia in 1217, 1222, and 1223. However, these succeeded only in conquering the territory of </w:t>
      </w:r>
      <w:proofErr w:type="spellStart"/>
      <w:r>
        <w:rPr>
          <w:rFonts w:ascii="Times New Roman" w:hAnsi="Times New Roman" w:cs="Times New Roman"/>
        </w:rPr>
        <w:t>Chelmno</w:t>
      </w:r>
      <w:proofErr w:type="spellEnd"/>
      <w:r>
        <w:rPr>
          <w:rFonts w:ascii="Times New Roman" w:hAnsi="Times New Roman" w:cs="Times New Roman"/>
        </w:rPr>
        <w:t xml:space="preserve"> and prompting retaliation by the Prussians who invaded and devastated Conrad’s lands. In 1226 Conrad appealed to the Teutonic Knights for help in fending off incursions by the Prussians and in subsequent years their forces would steadily flow into his lands.</w:t>
      </w:r>
      <w:r>
        <w:rPr>
          <w:rStyle w:val="FootnoteReference"/>
          <w:rFonts w:ascii="Times New Roman" w:hAnsi="Times New Roman" w:cs="Times New Roman"/>
        </w:rPr>
        <w:footnoteReference w:id="6"/>
      </w:r>
    </w:p>
    <w:p w14:paraId="53E68FB8" w14:textId="7F77D60C"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Polish forces would do most of the fighting in the Prussian Crusade, so why then did Prussia not fall under Polish overlordship? This raises the first problem of successfully conquering a region such as Prussia: control. It was a relatively simple task for a crusading force to defeat the Prussian armies, but Prussia was a land inhabited by various tribes and lacked much of the structures that would make conquest and control an easy task for a medieval state. For the region to be permanently pacified would require a long, sustained effort of building the required infrastructure, establishing the proper administrative systems, and converting the local population to Catholicism, all the while keeping a significant enough force in the region to defend against any rebellion, a force that would have to face the harsh Prussian winter.</w:t>
      </w:r>
      <w:r>
        <w:rPr>
          <w:rStyle w:val="FootnoteReference"/>
          <w:rFonts w:ascii="Times New Roman" w:hAnsi="Times New Roman" w:cs="Times New Roman"/>
        </w:rPr>
        <w:footnoteReference w:id="7"/>
      </w:r>
    </w:p>
    <w:p w14:paraId="0259C66A" w14:textId="5459F7F0"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This was where the Teutonic Knights proved to be extremely useful. While Polish armies were inclined to go back to homes and families after the campaigning season was over, the propertyless and celibate Teutonic Knights could remain in Prussia to undertake the task of controlling the region.</w:t>
      </w:r>
      <w:r>
        <w:rPr>
          <w:rStyle w:val="FootnoteReference"/>
          <w:rFonts w:ascii="Times New Roman" w:hAnsi="Times New Roman" w:cs="Times New Roman"/>
        </w:rPr>
        <w:footnoteReference w:id="8"/>
      </w:r>
      <w:r>
        <w:rPr>
          <w:rFonts w:ascii="Times New Roman" w:hAnsi="Times New Roman" w:cs="Times New Roman"/>
        </w:rPr>
        <w:t xml:space="preserve"> Being a religious order as well, they were also much better equipped to </w:t>
      </w:r>
      <w:r>
        <w:rPr>
          <w:rFonts w:ascii="Times New Roman" w:hAnsi="Times New Roman" w:cs="Times New Roman"/>
        </w:rPr>
        <w:lastRenderedPageBreak/>
        <w:t>effectively convert the local population than a secular force would be (this was a Crusade, after all).</w:t>
      </w:r>
    </w:p>
    <w:p w14:paraId="1249F349" w14:textId="77777777"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However, it was assumed by the dukes of Poland (at least, in the beginning) that after the Teutonic Knights had done their job, their territories would pass under Polish overlordship. This was prevented through clever politicking on the part of the Teutonic Knights, in particular Grand Master Hermann von Salza.</w:t>
      </w:r>
    </w:p>
    <w:p w14:paraId="4F1A1E2F" w14:textId="1AF5A4E7"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Upon being invited into Prussia by Duke Conrad, Hermann von Salza secured first from the Pope the Golden Bull of Rieta in 1234 confirming the Teutonic Knights’ authority over the region, and then from Holy Roman Emperor Frederick II (who was a close friend of his) the Golden Bull of Rimini also in that same year</w:t>
      </w:r>
      <w:r>
        <w:rPr>
          <w:rStyle w:val="FootnoteReference"/>
          <w:rFonts w:ascii="Times New Roman" w:hAnsi="Times New Roman" w:cs="Times New Roman"/>
        </w:rPr>
        <w:footnoteReference w:id="9"/>
      </w:r>
      <w:r>
        <w:rPr>
          <w:rFonts w:ascii="Times New Roman" w:hAnsi="Times New Roman" w:cs="Times New Roman"/>
        </w:rPr>
        <w:t xml:space="preserve"> granting the same status to the Teutonic Knights as an imperial prince in the Holy Roman Empire. Hermann Balk—the Prussian Master of the Teutonic Knights—leveraged the authority of these privileges and exploited Duke Conrad’s desperation to secure his domain to persuade him to sign the Treaty of Kruschwitz in 1235, which confirmed the privileges granted by the Pope and the Emperor.</w:t>
      </w:r>
      <w:r>
        <w:rPr>
          <w:rStyle w:val="FootnoteReference"/>
          <w:rFonts w:ascii="Times New Roman" w:hAnsi="Times New Roman" w:cs="Times New Roman"/>
        </w:rPr>
        <w:footnoteReference w:id="10"/>
      </w:r>
      <w:r>
        <w:rPr>
          <w:rFonts w:ascii="Times New Roman" w:hAnsi="Times New Roman" w:cs="Times New Roman"/>
        </w:rPr>
        <w:t xml:space="preserve"> Legally, the Teutonic Knights were now the legitimate, independent rulers of Prussia.</w:t>
      </w:r>
    </w:p>
    <w:p w14:paraId="5E508B29" w14:textId="38345DAB" w:rsidR="001A283D" w:rsidRDefault="001A283D" w:rsidP="009A7726">
      <w:pPr>
        <w:spacing w:after="0" w:line="480" w:lineRule="auto"/>
        <w:ind w:firstLine="720"/>
        <w:rPr>
          <w:rFonts w:ascii="Times New Roman" w:hAnsi="Times New Roman" w:cs="Times New Roman"/>
        </w:rPr>
      </w:pPr>
      <w:r>
        <w:rPr>
          <w:rFonts w:ascii="Times New Roman" w:hAnsi="Times New Roman" w:cs="Times New Roman"/>
        </w:rPr>
        <w:t xml:space="preserve">However, these privileges were pieces of paper. The Teutonic Knights would need to secure their territories through force of arms, in which they were much weaker than the powers surrounding them. To solve this problem, the Teutonic Knights were able to exploit rivalries among secular rulers to secure their position. When Duke Swantopelk of Pomerania joined with rebellious Prussian tribes and attempted to claim some of the territories controlled by the Teutonic Knights in 1242, they were able (with papal assistance) to convince the Polish dukes as </w:t>
      </w:r>
      <w:r>
        <w:rPr>
          <w:rFonts w:ascii="Times New Roman" w:hAnsi="Times New Roman" w:cs="Times New Roman"/>
        </w:rPr>
        <w:lastRenderedPageBreak/>
        <w:t xml:space="preserve">well as King Ottokar II of Bohemia—all of whom were interested in reducing the power of </w:t>
      </w:r>
      <w:proofErr w:type="spellStart"/>
      <w:r>
        <w:rPr>
          <w:rFonts w:ascii="Times New Roman" w:hAnsi="Times New Roman" w:cs="Times New Roman"/>
        </w:rPr>
        <w:t>Swantopelk</w:t>
      </w:r>
      <w:proofErr w:type="spellEnd"/>
      <w:r>
        <w:rPr>
          <w:rFonts w:ascii="Times New Roman" w:hAnsi="Times New Roman" w:cs="Times New Roman"/>
        </w:rPr>
        <w:t>—to come to their assistance.</w:t>
      </w:r>
      <w:r>
        <w:rPr>
          <w:rStyle w:val="FootnoteReference"/>
          <w:rFonts w:ascii="Times New Roman" w:hAnsi="Times New Roman" w:cs="Times New Roman"/>
        </w:rPr>
        <w:footnoteReference w:id="11"/>
      </w:r>
    </w:p>
    <w:p w14:paraId="4F71AF63" w14:textId="57839018" w:rsidR="001A283D" w:rsidRPr="00203A40" w:rsidRDefault="001A283D" w:rsidP="00BA7894">
      <w:pPr>
        <w:spacing w:after="0" w:line="480" w:lineRule="auto"/>
        <w:ind w:firstLine="720"/>
        <w:rPr>
          <w:rFonts w:ascii="Times New Roman" w:hAnsi="Times New Roman" w:cs="Times New Roman"/>
        </w:rPr>
      </w:pPr>
      <w:r>
        <w:rPr>
          <w:rFonts w:ascii="Times New Roman" w:hAnsi="Times New Roman" w:cs="Times New Roman"/>
        </w:rPr>
        <w:t xml:space="preserve">The war with </w:t>
      </w:r>
      <w:proofErr w:type="spellStart"/>
      <w:r>
        <w:rPr>
          <w:rFonts w:ascii="Times New Roman" w:hAnsi="Times New Roman" w:cs="Times New Roman"/>
        </w:rPr>
        <w:t>Swantopelk</w:t>
      </w:r>
      <w:proofErr w:type="spellEnd"/>
      <w:r>
        <w:rPr>
          <w:rFonts w:ascii="Times New Roman" w:hAnsi="Times New Roman" w:cs="Times New Roman"/>
        </w:rPr>
        <w:t xml:space="preserve"> reveals the second problem of a secular power attempting to conquer Prussia: the potential for unexpected crises to arise elsewhere. Nowhere is this better encapsulated than in the Mongol invasion of 1241. In an event so surprising that many attributed it to the wrath of God, the Mongols swept across the steppes into Europe, conquering all the Russian principalities except for Novgorod and decimating the armies of Poland and Hungary. Poland was already in a state of disunity, but the Mongol invasion made its situation much worse as the dukes of Poland now barely had enough forces to defend themselves against their opportunistic neighbors such as Brandenburg, Bohemia, and Galicia. Of course, the various dukes of Poland also sought to take advantage of the weakness of the other dukes leading to more internal conflict as well. Indeed, although it would take some time for them to do so, none other than the Teutonic Knights would also eventually take advantage of a divided and weakened Poland.</w:t>
      </w:r>
      <w:r>
        <w:rPr>
          <w:rStyle w:val="FootnoteReference"/>
          <w:rFonts w:ascii="Times New Roman" w:hAnsi="Times New Roman" w:cs="Times New Roman"/>
        </w:rPr>
        <w:footnoteReference w:id="12"/>
      </w:r>
    </w:p>
    <w:p w14:paraId="3DBB3822" w14:textId="77777777" w:rsidR="001A283D" w:rsidRDefault="001A283D" w:rsidP="000240EC">
      <w:pPr>
        <w:spacing w:after="0" w:line="480" w:lineRule="auto"/>
        <w:ind w:firstLine="720"/>
        <w:rPr>
          <w:rFonts w:ascii="Times New Roman" w:hAnsi="Times New Roman" w:cs="Times New Roman"/>
        </w:rPr>
      </w:pPr>
      <w:r>
        <w:rPr>
          <w:rFonts w:ascii="Times New Roman" w:hAnsi="Times New Roman" w:cs="Times New Roman"/>
        </w:rPr>
        <w:t xml:space="preserve">There were two other major political powers interested in the region of Prussia along with Poland: </w:t>
      </w:r>
      <w:proofErr w:type="gramStart"/>
      <w:r>
        <w:rPr>
          <w:rFonts w:ascii="Times New Roman" w:hAnsi="Times New Roman" w:cs="Times New Roman"/>
        </w:rPr>
        <w:t>the</w:t>
      </w:r>
      <w:proofErr w:type="gramEnd"/>
      <w:r>
        <w:rPr>
          <w:rFonts w:ascii="Times New Roman" w:hAnsi="Times New Roman" w:cs="Times New Roman"/>
        </w:rPr>
        <w:t xml:space="preserve"> Holy Roman Empire and the Papacy. However, they were also foiled in their attempts to gain overlordship of the region for the same reasons that Poland was.</w:t>
      </w:r>
    </w:p>
    <w:p w14:paraId="44BC27AE" w14:textId="57176B91" w:rsidR="001A283D" w:rsidRDefault="001A283D" w:rsidP="000240EC">
      <w:pPr>
        <w:spacing w:after="0" w:line="480" w:lineRule="auto"/>
        <w:ind w:firstLine="720"/>
        <w:rPr>
          <w:rFonts w:ascii="Times New Roman" w:hAnsi="Times New Roman" w:cs="Times New Roman"/>
        </w:rPr>
      </w:pPr>
      <w:r>
        <w:rPr>
          <w:rFonts w:ascii="Times New Roman" w:hAnsi="Times New Roman" w:cs="Times New Roman"/>
        </w:rPr>
        <w:t xml:space="preserve">The Holy Roman Empire was prevented from conquering Prussia, mainly for the reason that it spent most of its time feuding with the Pope or suffering from internal feuds between its various princes. These conflicts drew resources away from any potential conquest. In addition, the feud with the Pope caused the emperor to treat the Teutonic Knights with respect, as he </w:t>
      </w:r>
      <w:r>
        <w:rPr>
          <w:rFonts w:ascii="Times New Roman" w:hAnsi="Times New Roman" w:cs="Times New Roman"/>
        </w:rPr>
        <w:lastRenderedPageBreak/>
        <w:t>hoped that they would eventually be incorporated into the empire thereby increasing the emperor’s authority.</w:t>
      </w:r>
      <w:r>
        <w:rPr>
          <w:rStyle w:val="FootnoteReference"/>
          <w:rFonts w:ascii="Times New Roman" w:hAnsi="Times New Roman" w:cs="Times New Roman"/>
        </w:rPr>
        <w:footnoteReference w:id="13"/>
      </w:r>
    </w:p>
    <w:p w14:paraId="2F5D5B5C" w14:textId="35D786FA" w:rsidR="001A283D" w:rsidRDefault="001A283D" w:rsidP="00231634">
      <w:pPr>
        <w:spacing w:after="0" w:line="480" w:lineRule="auto"/>
        <w:ind w:firstLine="720"/>
        <w:rPr>
          <w:rFonts w:ascii="Times New Roman" w:hAnsi="Times New Roman" w:cs="Times New Roman"/>
        </w:rPr>
      </w:pPr>
      <w:r>
        <w:rPr>
          <w:rFonts w:ascii="Times New Roman" w:hAnsi="Times New Roman" w:cs="Times New Roman"/>
        </w:rPr>
        <w:t>Although the papacy was never going to outright conquer Prussia, it did want to carve several bishoprics out of Prussian territory. However, it got rather minimal returns on its investment. The papacy had a similar reason to support the Teutonic Knights in Prussia as the Holy Roman Emperor, which was the feud between the Pope and the emperor. The Pope was inclined to bestow privileges on the Teutonic Knights in the hopes that they would not join the Holy Roman Empire, which would increase the emperor’s authority and thereby weaken the Pope’s.</w:t>
      </w:r>
      <w:r>
        <w:rPr>
          <w:rStyle w:val="FootnoteReference"/>
          <w:rFonts w:ascii="Times New Roman" w:hAnsi="Times New Roman" w:cs="Times New Roman"/>
        </w:rPr>
        <w:footnoteReference w:id="14"/>
      </w:r>
    </w:p>
    <w:p w14:paraId="1A2135B9" w14:textId="6166FB42" w:rsidR="001A283D" w:rsidRPr="006638E7" w:rsidRDefault="001A283D" w:rsidP="006638E7">
      <w:pPr>
        <w:spacing w:after="0" w:line="480" w:lineRule="auto"/>
        <w:ind w:firstLine="720"/>
        <w:rPr>
          <w:rFonts w:ascii="Times New Roman" w:hAnsi="Times New Roman" w:cs="Times New Roman"/>
        </w:rPr>
      </w:pPr>
      <w:r>
        <w:rPr>
          <w:rFonts w:ascii="Times New Roman" w:hAnsi="Times New Roman" w:cs="Times New Roman"/>
        </w:rPr>
        <w:t>In addition, the Pope had several other reasons to support and bestow favor on the Teutonic Knights. The papacy was frequently the only source of arbitration in feuds between the Christian powers in the region, and it had obvious incentive to favor the Teutonic Knights in these feuds: being a religious military order they were much more inclined to abide by papal decrees than the secular powers that they were in conflict with.</w:t>
      </w:r>
      <w:r>
        <w:rPr>
          <w:rStyle w:val="FootnoteReference"/>
          <w:rFonts w:ascii="Times New Roman" w:hAnsi="Times New Roman" w:cs="Times New Roman"/>
        </w:rPr>
        <w:footnoteReference w:id="15"/>
      </w:r>
      <w:r>
        <w:rPr>
          <w:rFonts w:ascii="Times New Roman" w:hAnsi="Times New Roman" w:cs="Times New Roman"/>
        </w:rPr>
        <w:t xml:space="preserve"> The Teutonic Knights also kept a system of proctors (representatives) at the papal curia, something none of the other powers had. This meant that they were frequently the first to raise concerns and the first to receive a response from the Pope.</w:t>
      </w:r>
      <w:r>
        <w:rPr>
          <w:rStyle w:val="FootnoteReference"/>
          <w:rFonts w:ascii="Times New Roman" w:hAnsi="Times New Roman" w:cs="Times New Roman"/>
        </w:rPr>
        <w:footnoteReference w:id="16"/>
      </w:r>
    </w:p>
    <w:p w14:paraId="0EFD42A0" w14:textId="725DA3BA" w:rsidR="001A283D" w:rsidRDefault="001A283D" w:rsidP="004B2792">
      <w:pPr>
        <w:spacing w:after="0" w:line="480" w:lineRule="auto"/>
        <w:ind w:firstLine="720"/>
        <w:rPr>
          <w:rFonts w:ascii="Times New Roman" w:hAnsi="Times New Roman" w:cs="Times New Roman"/>
        </w:rPr>
      </w:pPr>
      <w:r>
        <w:rPr>
          <w:rFonts w:ascii="Times New Roman" w:hAnsi="Times New Roman" w:cs="Times New Roman"/>
        </w:rPr>
        <w:t xml:space="preserve">In addition to Prussia, the Teutonic Knights also managed to gain control over much of Livonia during the Northern Crusades. However, the most important military order in the Livonian Crusade in its beginning in the late twelfth century was not the Teutonic Knights, but </w:t>
      </w:r>
      <w:r>
        <w:rPr>
          <w:rFonts w:ascii="Times New Roman" w:hAnsi="Times New Roman" w:cs="Times New Roman"/>
        </w:rPr>
        <w:lastRenderedPageBreak/>
        <w:t xml:space="preserve">the Livonian Brothers of the Sword (also known as the Sword Brothers), created by Albert von Buxhoevden, the Bishop of Riga. Much of the land in Livonia was under the control of the Sword Brothers through similar processes that the Teutonic Knights brought land under their control in Prussia. Secular Crusading armies would arrive to campaign in the summer, then return home in the winter, leaving the task of controlling the conquered </w:t>
      </w:r>
      <w:proofErr w:type="gramStart"/>
      <w:r>
        <w:rPr>
          <w:rFonts w:ascii="Times New Roman" w:hAnsi="Times New Roman" w:cs="Times New Roman"/>
        </w:rPr>
        <w:t>territories</w:t>
      </w:r>
      <w:proofErr w:type="gramEnd"/>
      <w:r>
        <w:rPr>
          <w:rFonts w:ascii="Times New Roman" w:hAnsi="Times New Roman" w:cs="Times New Roman"/>
        </w:rPr>
        <w:t xml:space="preserve"> to the Sword Brothers.</w:t>
      </w:r>
      <w:r>
        <w:rPr>
          <w:rStyle w:val="FootnoteReference"/>
          <w:rFonts w:ascii="Times New Roman" w:hAnsi="Times New Roman" w:cs="Times New Roman"/>
        </w:rPr>
        <w:footnoteReference w:id="17"/>
      </w:r>
      <w:r>
        <w:rPr>
          <w:rFonts w:ascii="Times New Roman" w:hAnsi="Times New Roman" w:cs="Times New Roman"/>
        </w:rPr>
        <w:t xml:space="preserve"> However, by the end of the Northern Crusades, it was the Teutonic Knights that were in control of Livonia.</w:t>
      </w:r>
    </w:p>
    <w:p w14:paraId="7DB4ADD5" w14:textId="1C36169B" w:rsidR="001A283D" w:rsidRPr="00FE6581" w:rsidRDefault="001A283D" w:rsidP="00BA7894">
      <w:pPr>
        <w:spacing w:after="0" w:line="480" w:lineRule="auto"/>
        <w:ind w:firstLine="720"/>
        <w:rPr>
          <w:rFonts w:ascii="Times New Roman" w:hAnsi="Times New Roman" w:cs="Times New Roman"/>
        </w:rPr>
      </w:pPr>
      <w:r>
        <w:rPr>
          <w:rFonts w:ascii="Times New Roman" w:hAnsi="Times New Roman" w:cs="Times New Roman"/>
        </w:rPr>
        <w:t>The downfall of the Sword Brothers was due to their greed and incompetence. They viciously exploited the people that they ruled over and attempted to take Denmark’s possessions in Estonia; both of these actions led to the order being rebuked by the Pope. Eventually in 1236, the Sword Brothers, eager for more land and resources, launched an ill-planned invasion of Lithuania and suffered a crushing defeat.</w:t>
      </w:r>
      <w:r>
        <w:rPr>
          <w:rStyle w:val="FootnoteReference"/>
          <w:rFonts w:ascii="Times New Roman" w:hAnsi="Times New Roman" w:cs="Times New Roman"/>
        </w:rPr>
        <w:footnoteReference w:id="18"/>
      </w:r>
      <w:r>
        <w:rPr>
          <w:rFonts w:ascii="Times New Roman" w:hAnsi="Times New Roman" w:cs="Times New Roman"/>
        </w:rPr>
        <w:t xml:space="preserve"> Neither Denmark nor the papacy was willing to help them afterwards and in 1237 the Sword Brothers were incorporated into the Teutonic Knights.</w:t>
      </w:r>
      <w:r>
        <w:rPr>
          <w:rStyle w:val="FootnoteReference"/>
          <w:rFonts w:ascii="Times New Roman" w:hAnsi="Times New Roman" w:cs="Times New Roman"/>
        </w:rPr>
        <w:footnoteReference w:id="19"/>
      </w:r>
    </w:p>
    <w:p w14:paraId="56CC7EA9" w14:textId="77777777" w:rsidR="001A283D" w:rsidRDefault="001A283D" w:rsidP="00180037">
      <w:pPr>
        <w:spacing w:after="0" w:line="480" w:lineRule="auto"/>
        <w:ind w:firstLine="720"/>
        <w:rPr>
          <w:rFonts w:ascii="Times New Roman" w:hAnsi="Times New Roman" w:cs="Times New Roman"/>
        </w:rPr>
      </w:pPr>
      <w:r>
        <w:rPr>
          <w:rFonts w:ascii="Times New Roman" w:hAnsi="Times New Roman" w:cs="Times New Roman"/>
        </w:rPr>
        <w:t>Most of the conquest of Livonia had been accomplished by the Sword Brothers when the Teutonic Knights arrived, and since the Sword Brothers were founded by a bishop the papacy was able to extract more concessions from them than from the Teutonic Knights. When the conquest of the region was complete, about half of the region was controlled by various bishoprics, most importantly the archbishopric of Riga. Once again, the same reasons that the papacy tended to favor the Teutonic Knights in Prussia caused it to tend to support them in Livonia as well.</w:t>
      </w:r>
      <w:r>
        <w:rPr>
          <w:rStyle w:val="FootnoteReference"/>
          <w:rFonts w:ascii="Times New Roman" w:hAnsi="Times New Roman" w:cs="Times New Roman"/>
        </w:rPr>
        <w:footnoteReference w:id="20"/>
      </w:r>
    </w:p>
    <w:p w14:paraId="57990C6A" w14:textId="086B90AD" w:rsidR="001A283D" w:rsidRPr="00801892" w:rsidRDefault="001A283D" w:rsidP="00BA7894">
      <w:pPr>
        <w:spacing w:after="0" w:line="480" w:lineRule="auto"/>
        <w:ind w:firstLine="720"/>
        <w:rPr>
          <w:rFonts w:ascii="Times New Roman" w:hAnsi="Times New Roman" w:cs="Times New Roman"/>
        </w:rPr>
      </w:pPr>
      <w:r>
        <w:rPr>
          <w:rFonts w:ascii="Times New Roman" w:hAnsi="Times New Roman" w:cs="Times New Roman"/>
        </w:rPr>
        <w:lastRenderedPageBreak/>
        <w:t>Denmark under King Valdemar II managed to conquer and control the region of Estonia, contrary to the trend demonstrated previously in this paper, but further success in the region was hindered largely by the same mechanisms that hindered Poland in Prussia. Denmark had problems elsewhere that soon drew its attention away from the Baltic, namely the kidnapping of King Valdemar II by Count Henry I of Schwerin and a subsequent rebellion in Denmark’s German territories. This distraction allowed the Sword Brothers to begin encroaching on Denmark’s holdings in Estonia. Denmark managed to retain control of Estonia through the intervention of the papacy and incompetence of the Sword Brothers more than through their strength of arms.</w:t>
      </w:r>
      <w:r>
        <w:rPr>
          <w:rStyle w:val="FootnoteReference"/>
          <w:rFonts w:ascii="Times New Roman" w:hAnsi="Times New Roman" w:cs="Times New Roman"/>
        </w:rPr>
        <w:footnoteReference w:id="21"/>
      </w:r>
      <w:r>
        <w:rPr>
          <w:rFonts w:ascii="Times New Roman" w:hAnsi="Times New Roman" w:cs="Times New Roman"/>
        </w:rPr>
        <w:t xml:space="preserve"> Eventually, the difficulties of controlling such a province would prove to be too much for Denmark, and after the St. George’s Night uprising in 1346 King Valdemar IV sold Estonia to the Teutonic Knights.</w:t>
      </w:r>
      <w:r>
        <w:rPr>
          <w:rStyle w:val="FootnoteReference"/>
          <w:rFonts w:ascii="Times New Roman" w:hAnsi="Times New Roman" w:cs="Times New Roman"/>
        </w:rPr>
        <w:footnoteReference w:id="22"/>
      </w:r>
    </w:p>
    <w:p w14:paraId="2E624D6F" w14:textId="4C1DA048" w:rsidR="001A283D" w:rsidRDefault="001A283D" w:rsidP="00BA7894">
      <w:pPr>
        <w:spacing w:after="0" w:line="480" w:lineRule="auto"/>
        <w:ind w:firstLine="720"/>
        <w:rPr>
          <w:rFonts w:ascii="Times New Roman" w:hAnsi="Times New Roman" w:cs="Times New Roman"/>
        </w:rPr>
      </w:pPr>
      <w:r>
        <w:rPr>
          <w:rFonts w:ascii="Times New Roman" w:hAnsi="Times New Roman" w:cs="Times New Roman"/>
        </w:rPr>
        <w:t>Directly neighboring Livonia was the principality of Novgorod, the sole Rus state that escaped the Mongol conquest. Perhaps the most important reason Novgorod did not conquer Livonia was that they were an Orthodox power, not a Catholic one. As such, they had no interest in Crusades to convert pagans to Catholicism.</w:t>
      </w:r>
    </w:p>
    <w:p w14:paraId="0863127B" w14:textId="14E92012" w:rsidR="001A283D" w:rsidRPr="00193B8F" w:rsidRDefault="001A283D" w:rsidP="00E5555A">
      <w:pPr>
        <w:spacing w:after="0" w:line="480" w:lineRule="auto"/>
        <w:ind w:firstLine="720"/>
        <w:rPr>
          <w:rFonts w:ascii="Times New Roman" w:hAnsi="Times New Roman" w:cs="Times New Roman"/>
        </w:rPr>
      </w:pPr>
      <w:r>
        <w:rPr>
          <w:rFonts w:ascii="Times New Roman" w:hAnsi="Times New Roman" w:cs="Times New Roman"/>
        </w:rPr>
        <w:t>There are other reasons that states conquer regions besides religious conversion, but throughout most of its existence Novgorod adopted a policy of frontier defense towards the region of Livonia. Novgorod was a principality whose wealth and power was largely built on trade (mainly in furs) from Siberia down the Neva to the Baltic or down the Volga to the rest of the Rus. Livonia did not lie on any of Novgorod’s important trade routes and held no resources that they found to be especially useful or profitable.</w:t>
      </w:r>
      <w:r>
        <w:rPr>
          <w:rStyle w:val="FootnoteReference"/>
          <w:rFonts w:ascii="Times New Roman" w:hAnsi="Times New Roman" w:cs="Times New Roman"/>
        </w:rPr>
        <w:footnoteReference w:id="23"/>
      </w:r>
      <w:r>
        <w:rPr>
          <w:rFonts w:ascii="Times New Roman" w:hAnsi="Times New Roman" w:cs="Times New Roman"/>
        </w:rPr>
        <w:t xml:space="preserve"> Novgorod only attempted to conquer </w:t>
      </w:r>
      <w:r>
        <w:rPr>
          <w:rFonts w:ascii="Times New Roman" w:hAnsi="Times New Roman" w:cs="Times New Roman"/>
        </w:rPr>
        <w:lastRenderedPageBreak/>
        <w:t>Livonia when it saw the rising power of the Teutonic Knights, and the subsequent success of German merchants,</w:t>
      </w:r>
      <w:r>
        <w:rPr>
          <w:rStyle w:val="FootnoteReference"/>
          <w:rFonts w:ascii="Times New Roman" w:hAnsi="Times New Roman" w:cs="Times New Roman"/>
        </w:rPr>
        <w:footnoteReference w:id="24"/>
      </w:r>
      <w:r>
        <w:rPr>
          <w:rFonts w:ascii="Times New Roman" w:hAnsi="Times New Roman" w:cs="Times New Roman"/>
        </w:rPr>
        <w:t xml:space="preserve"> in the region. But by then it was too little too late; the Teutonic Knights were firmly established.</w:t>
      </w:r>
      <w:r>
        <w:rPr>
          <w:rStyle w:val="FootnoteReference"/>
          <w:rFonts w:ascii="Times New Roman" w:hAnsi="Times New Roman" w:cs="Times New Roman"/>
        </w:rPr>
        <w:footnoteReference w:id="25"/>
      </w:r>
    </w:p>
    <w:p w14:paraId="766A8521" w14:textId="7AF095E7" w:rsidR="00624CB7" w:rsidRDefault="00F27559" w:rsidP="00917CFC">
      <w:pPr>
        <w:spacing w:after="0" w:line="480" w:lineRule="auto"/>
        <w:ind w:firstLine="720"/>
        <w:rPr>
          <w:rFonts w:ascii="Times New Roman" w:hAnsi="Times New Roman" w:cs="Times New Roman"/>
        </w:rPr>
        <w:sectPr w:rsidR="00624CB7" w:rsidSect="000578D9">
          <w:headerReference w:type="default" r:id="rId9"/>
          <w:pgSz w:w="12240" w:h="15840"/>
          <w:pgMar w:top="1440" w:right="1440" w:bottom="1440" w:left="1440" w:header="720" w:footer="720" w:gutter="0"/>
          <w:pgNumType w:start="1"/>
          <w:cols w:space="720"/>
          <w:docGrid w:linePitch="360"/>
        </w:sectPr>
      </w:pPr>
      <w:r>
        <w:rPr>
          <w:rFonts w:ascii="Times New Roman" w:hAnsi="Times New Roman" w:cs="Times New Roman"/>
        </w:rPr>
        <w:t xml:space="preserve">The success of the Teutonic Knights in the Northern Crusades had wide-ranging effects on history. </w:t>
      </w:r>
      <w:proofErr w:type="gramStart"/>
      <w:r>
        <w:rPr>
          <w:rFonts w:ascii="Times New Roman" w:hAnsi="Times New Roman" w:cs="Times New Roman"/>
        </w:rPr>
        <w:t>It began the</w:t>
      </w:r>
      <w:proofErr w:type="gramEnd"/>
      <w:r>
        <w:rPr>
          <w:rFonts w:ascii="Times New Roman" w:hAnsi="Times New Roman" w:cs="Times New Roman"/>
        </w:rPr>
        <w:t xml:space="preserve"> Germanization of the </w:t>
      </w:r>
      <w:proofErr w:type="gramStart"/>
      <w:r>
        <w:rPr>
          <w:rFonts w:ascii="Times New Roman" w:hAnsi="Times New Roman" w:cs="Times New Roman"/>
        </w:rPr>
        <w:t>Baltic</w:t>
      </w:r>
      <w:proofErr w:type="gramEnd"/>
      <w:r w:rsidR="00DD10CA">
        <w:rPr>
          <w:rFonts w:ascii="Times New Roman" w:hAnsi="Times New Roman" w:cs="Times New Roman"/>
        </w:rPr>
        <w:t>, laying the foundations for the state of Prussia.</w:t>
      </w:r>
      <w:r w:rsidR="00DC5902">
        <w:rPr>
          <w:rFonts w:ascii="Times New Roman" w:hAnsi="Times New Roman" w:cs="Times New Roman"/>
        </w:rPr>
        <w:t xml:space="preserve"> </w:t>
      </w:r>
      <w:r w:rsidR="00996C95">
        <w:rPr>
          <w:rFonts w:ascii="Times New Roman" w:hAnsi="Times New Roman" w:cs="Times New Roman"/>
        </w:rPr>
        <w:t>As well, t</w:t>
      </w:r>
      <w:r w:rsidR="00DC5902">
        <w:rPr>
          <w:rFonts w:ascii="Times New Roman" w:hAnsi="Times New Roman" w:cs="Times New Roman"/>
        </w:rPr>
        <w:t xml:space="preserve">he legacy of the Teutonic Knights </w:t>
      </w:r>
      <w:r w:rsidR="00E72269">
        <w:rPr>
          <w:rFonts w:ascii="Times New Roman" w:hAnsi="Times New Roman" w:cs="Times New Roman"/>
        </w:rPr>
        <w:t xml:space="preserve">in the Northern Crusades </w:t>
      </w:r>
      <w:r w:rsidR="00DC5902">
        <w:rPr>
          <w:rFonts w:ascii="Times New Roman" w:hAnsi="Times New Roman" w:cs="Times New Roman"/>
        </w:rPr>
        <w:t xml:space="preserve">has </w:t>
      </w:r>
      <w:r w:rsidR="00E72269">
        <w:rPr>
          <w:rFonts w:ascii="Times New Roman" w:hAnsi="Times New Roman" w:cs="Times New Roman"/>
        </w:rPr>
        <w:t xml:space="preserve">varied immensely, </w:t>
      </w:r>
      <w:r w:rsidR="004122FF">
        <w:rPr>
          <w:rFonts w:ascii="Times New Roman" w:hAnsi="Times New Roman" w:cs="Times New Roman"/>
        </w:rPr>
        <w:t>such as</w:t>
      </w:r>
      <w:r w:rsidR="00E72269">
        <w:rPr>
          <w:rFonts w:ascii="Times New Roman" w:hAnsi="Times New Roman" w:cs="Times New Roman"/>
        </w:rPr>
        <w:t xml:space="preserve"> being appropriated as an example of German superiority by the Nazis or </w:t>
      </w:r>
      <w:r w:rsidR="000F0026">
        <w:rPr>
          <w:rFonts w:ascii="Times New Roman" w:hAnsi="Times New Roman" w:cs="Times New Roman"/>
        </w:rPr>
        <w:t xml:space="preserve">as an example of Russo-German enmity such as in Sergei Eisenstein’s 1938 movie </w:t>
      </w:r>
      <w:r w:rsidR="000F0026">
        <w:rPr>
          <w:rFonts w:ascii="Times New Roman" w:hAnsi="Times New Roman" w:cs="Times New Roman"/>
          <w:i/>
          <w:iCs/>
        </w:rPr>
        <w:t>Alexander Nevsky</w:t>
      </w:r>
      <w:r w:rsidR="004122FF">
        <w:rPr>
          <w:rFonts w:ascii="Times New Roman" w:hAnsi="Times New Roman" w:cs="Times New Roman"/>
        </w:rPr>
        <w:t>, depicting the conflict between the Teutonic Knights and Novgorod</w:t>
      </w:r>
      <w:r w:rsidR="000F0026">
        <w:rPr>
          <w:rFonts w:ascii="Times New Roman" w:hAnsi="Times New Roman" w:cs="Times New Roman"/>
        </w:rPr>
        <w:t>.</w:t>
      </w:r>
      <w:r w:rsidR="00DD10CA">
        <w:rPr>
          <w:rFonts w:ascii="Times New Roman" w:hAnsi="Times New Roman" w:cs="Times New Roman"/>
        </w:rPr>
        <w:t xml:space="preserve"> </w:t>
      </w:r>
      <w:r w:rsidR="00753A32">
        <w:rPr>
          <w:rFonts w:ascii="Times New Roman" w:hAnsi="Times New Roman" w:cs="Times New Roman"/>
        </w:rPr>
        <w:t>Overall, t</w:t>
      </w:r>
      <w:r w:rsidR="001F32C1">
        <w:rPr>
          <w:rFonts w:ascii="Times New Roman" w:hAnsi="Times New Roman" w:cs="Times New Roman"/>
        </w:rPr>
        <w:t xml:space="preserve">he success of the Teutonic Knights </w:t>
      </w:r>
      <w:r w:rsidR="00753A32">
        <w:rPr>
          <w:rFonts w:ascii="Times New Roman" w:hAnsi="Times New Roman" w:cs="Times New Roman"/>
        </w:rPr>
        <w:t xml:space="preserve">in the Northern Crusades </w:t>
      </w:r>
      <w:r w:rsidR="001F32C1">
        <w:rPr>
          <w:rFonts w:ascii="Times New Roman" w:hAnsi="Times New Roman" w:cs="Times New Roman"/>
        </w:rPr>
        <w:t>can be linked to two primary reasons</w:t>
      </w:r>
      <w:r w:rsidR="009D5110">
        <w:rPr>
          <w:rFonts w:ascii="Times New Roman" w:hAnsi="Times New Roman" w:cs="Times New Roman"/>
        </w:rPr>
        <w:t xml:space="preserve">: the difficulties of controlling the conquered regions and the other interests </w:t>
      </w:r>
      <w:r w:rsidR="00AF22CE">
        <w:rPr>
          <w:rFonts w:ascii="Times New Roman" w:hAnsi="Times New Roman" w:cs="Times New Roman"/>
        </w:rPr>
        <w:t>that distract</w:t>
      </w:r>
      <w:r w:rsidR="006C31FC">
        <w:rPr>
          <w:rFonts w:ascii="Times New Roman" w:hAnsi="Times New Roman" w:cs="Times New Roman"/>
        </w:rPr>
        <w:t>ed</w:t>
      </w:r>
      <w:r w:rsidR="009D5110">
        <w:rPr>
          <w:rFonts w:ascii="Times New Roman" w:hAnsi="Times New Roman" w:cs="Times New Roman"/>
        </w:rPr>
        <w:t xml:space="preserve"> the secular powers</w:t>
      </w:r>
      <w:r w:rsidR="00AF22CE">
        <w:rPr>
          <w:rFonts w:ascii="Times New Roman" w:hAnsi="Times New Roman" w:cs="Times New Roman"/>
        </w:rPr>
        <w:t xml:space="preserve"> from undertaking these difficulties.</w:t>
      </w:r>
    </w:p>
    <w:p w14:paraId="1460E74C" w14:textId="2915F048" w:rsidR="00917CFC" w:rsidRDefault="00624CB7" w:rsidP="00624CB7">
      <w:pPr>
        <w:spacing w:after="0" w:line="480" w:lineRule="auto"/>
        <w:ind w:firstLine="720"/>
        <w:jc w:val="center"/>
        <w:rPr>
          <w:rFonts w:ascii="Times New Roman" w:hAnsi="Times New Roman" w:cs="Times New Roman"/>
        </w:rPr>
      </w:pPr>
      <w:r>
        <w:rPr>
          <w:rFonts w:ascii="Times New Roman" w:hAnsi="Times New Roman" w:cs="Times New Roman"/>
          <w:b/>
          <w:bCs/>
        </w:rPr>
        <w:lastRenderedPageBreak/>
        <w:t>Bibliograp</w:t>
      </w:r>
      <w:r w:rsidR="004B11F1">
        <w:rPr>
          <w:rFonts w:ascii="Times New Roman" w:hAnsi="Times New Roman" w:cs="Times New Roman"/>
          <w:b/>
          <w:bCs/>
        </w:rPr>
        <w:t>hy: Works C</w:t>
      </w:r>
      <w:r w:rsidR="008F5137">
        <w:rPr>
          <w:rFonts w:ascii="Times New Roman" w:hAnsi="Times New Roman" w:cs="Times New Roman"/>
          <w:b/>
          <w:bCs/>
        </w:rPr>
        <w:t>ited</w:t>
      </w:r>
    </w:p>
    <w:p w14:paraId="396C2620" w14:textId="6105C366" w:rsidR="00A10253" w:rsidRPr="00D26D71" w:rsidRDefault="00A10253" w:rsidP="000800E2">
      <w:pPr>
        <w:spacing w:after="0" w:line="240" w:lineRule="auto"/>
        <w:rPr>
          <w:rFonts w:ascii="Times New Roman" w:hAnsi="Times New Roman" w:cs="Times New Roman"/>
        </w:rPr>
      </w:pPr>
      <w:r>
        <w:rPr>
          <w:rFonts w:ascii="Times New Roman" w:hAnsi="Times New Roman" w:cs="Times New Roman"/>
        </w:rPr>
        <w:t>Bernard</w:t>
      </w:r>
      <w:r w:rsidR="00083188">
        <w:rPr>
          <w:rFonts w:ascii="Times New Roman" w:hAnsi="Times New Roman" w:cs="Times New Roman"/>
        </w:rPr>
        <w:t xml:space="preserve"> of Clairvaux. </w:t>
      </w:r>
      <w:r w:rsidR="00083188">
        <w:rPr>
          <w:rFonts w:ascii="Times New Roman" w:hAnsi="Times New Roman" w:cs="Times New Roman"/>
          <w:i/>
          <w:iCs/>
        </w:rPr>
        <w:t>In Praise of the New Knighthood</w:t>
      </w:r>
      <w:r w:rsidR="00083188">
        <w:rPr>
          <w:rFonts w:ascii="Times New Roman" w:hAnsi="Times New Roman" w:cs="Times New Roman"/>
        </w:rPr>
        <w:t xml:space="preserve">. Translated by Conrad Greenia. </w:t>
      </w:r>
      <w:r w:rsidR="00DB428F">
        <w:rPr>
          <w:rFonts w:ascii="Times New Roman" w:hAnsi="Times New Roman" w:cs="Times New Roman"/>
        </w:rPr>
        <w:tab/>
      </w:r>
      <w:r w:rsidR="00DB428F" w:rsidRPr="00D26D71">
        <w:rPr>
          <w:rFonts w:ascii="Times New Roman" w:hAnsi="Times New Roman" w:cs="Times New Roman"/>
        </w:rPr>
        <w:t>Cistercian Publications, 1977</w:t>
      </w:r>
      <w:r w:rsidR="00DD1C25" w:rsidRPr="00D26D71">
        <w:rPr>
          <w:rFonts w:ascii="Times New Roman" w:hAnsi="Times New Roman" w:cs="Times New Roman"/>
        </w:rPr>
        <w:t xml:space="preserve">, </w:t>
      </w:r>
      <w:r w:rsidR="00DD1C25" w:rsidRPr="00D26D71">
        <w:rPr>
          <w:rFonts w:ascii="Times New Roman" w:hAnsi="Times New Roman" w:cs="Times New Roman"/>
        </w:rPr>
        <w:tab/>
        <w:t>https://history.hanover.edu/courses/excerpts/344bern2.html.</w:t>
      </w:r>
    </w:p>
    <w:p w14:paraId="538DD57A" w14:textId="77777777" w:rsidR="00A10253" w:rsidRPr="00D26D71" w:rsidRDefault="00A10253" w:rsidP="000800E2">
      <w:pPr>
        <w:spacing w:after="0" w:line="240" w:lineRule="auto"/>
        <w:rPr>
          <w:rFonts w:ascii="Times New Roman" w:hAnsi="Times New Roman" w:cs="Times New Roman"/>
        </w:rPr>
      </w:pPr>
    </w:p>
    <w:p w14:paraId="75899D4E" w14:textId="04FF5C8A" w:rsidR="005434B7" w:rsidRDefault="005434B7" w:rsidP="000800E2">
      <w:pPr>
        <w:spacing w:after="0" w:line="240" w:lineRule="auto"/>
        <w:rPr>
          <w:rFonts w:ascii="Times New Roman" w:hAnsi="Times New Roman" w:cs="Times New Roman"/>
        </w:rPr>
      </w:pPr>
      <w:r>
        <w:rPr>
          <w:rFonts w:ascii="Times New Roman" w:hAnsi="Times New Roman" w:cs="Times New Roman"/>
        </w:rPr>
        <w:t xml:space="preserve">Boswell, Bruce, A. “Territorial Division and the Mongol Invasions.” In </w:t>
      </w:r>
      <w:r>
        <w:rPr>
          <w:rFonts w:ascii="Times New Roman" w:hAnsi="Times New Roman" w:cs="Times New Roman"/>
          <w:i/>
          <w:iCs/>
        </w:rPr>
        <w:t xml:space="preserve">The Cambridge History </w:t>
      </w:r>
      <w:r>
        <w:rPr>
          <w:rFonts w:ascii="Times New Roman" w:hAnsi="Times New Roman" w:cs="Times New Roman"/>
          <w:i/>
          <w:iCs/>
        </w:rPr>
        <w:tab/>
        <w:t>of Poland: From the Origins to Sobieski (to 1649)</w:t>
      </w:r>
      <w:r>
        <w:rPr>
          <w:rFonts w:ascii="Times New Roman" w:hAnsi="Times New Roman" w:cs="Times New Roman"/>
        </w:rPr>
        <w:t xml:space="preserve">, edited by W. F. Reddaway, J.H. </w:t>
      </w:r>
      <w:r>
        <w:rPr>
          <w:rFonts w:ascii="Times New Roman" w:hAnsi="Times New Roman" w:cs="Times New Roman"/>
        </w:rPr>
        <w:tab/>
        <w:t>Penson, O. Halecki, and R. Dyboski. Cambridge University Press, 1950.</w:t>
      </w:r>
    </w:p>
    <w:p w14:paraId="1F7FB3B7" w14:textId="77777777" w:rsidR="005434B7" w:rsidRDefault="005434B7" w:rsidP="000800E2">
      <w:pPr>
        <w:spacing w:after="0" w:line="240" w:lineRule="auto"/>
        <w:rPr>
          <w:rFonts w:ascii="Times New Roman" w:hAnsi="Times New Roman" w:cs="Times New Roman"/>
        </w:rPr>
      </w:pPr>
    </w:p>
    <w:p w14:paraId="394C2AA8" w14:textId="3B64A7A2" w:rsidR="00624CB7" w:rsidRDefault="00D52FAD" w:rsidP="000800E2">
      <w:pPr>
        <w:spacing w:after="0" w:line="240" w:lineRule="auto"/>
        <w:rPr>
          <w:rFonts w:ascii="Times New Roman" w:hAnsi="Times New Roman" w:cs="Times New Roman"/>
        </w:rPr>
      </w:pPr>
      <w:r>
        <w:rPr>
          <w:rFonts w:ascii="Times New Roman" w:hAnsi="Times New Roman" w:cs="Times New Roman"/>
        </w:rPr>
        <w:t xml:space="preserve">Christiansen, Eric. </w:t>
      </w:r>
      <w:r w:rsidR="00B847A8">
        <w:rPr>
          <w:rFonts w:ascii="Times New Roman" w:hAnsi="Times New Roman" w:cs="Times New Roman"/>
          <w:i/>
          <w:iCs/>
        </w:rPr>
        <w:t>The Northern Crusades</w:t>
      </w:r>
      <w:r w:rsidR="00E33FE8">
        <w:rPr>
          <w:rFonts w:ascii="Times New Roman" w:hAnsi="Times New Roman" w:cs="Times New Roman"/>
        </w:rPr>
        <w:t xml:space="preserve">. </w:t>
      </w:r>
      <w:r w:rsidR="00A929F4">
        <w:rPr>
          <w:rFonts w:ascii="Times New Roman" w:hAnsi="Times New Roman" w:cs="Times New Roman"/>
        </w:rPr>
        <w:t>2</w:t>
      </w:r>
      <w:r w:rsidR="00A929F4" w:rsidRPr="00A929F4">
        <w:rPr>
          <w:rFonts w:ascii="Times New Roman" w:hAnsi="Times New Roman" w:cs="Times New Roman"/>
          <w:vertAlign w:val="superscript"/>
        </w:rPr>
        <w:t>nd</w:t>
      </w:r>
      <w:r w:rsidR="00A929F4">
        <w:rPr>
          <w:rFonts w:ascii="Times New Roman" w:hAnsi="Times New Roman" w:cs="Times New Roman"/>
        </w:rPr>
        <w:t xml:space="preserve"> ed. </w:t>
      </w:r>
      <w:r w:rsidR="00A9309E">
        <w:rPr>
          <w:rFonts w:ascii="Times New Roman" w:hAnsi="Times New Roman" w:cs="Times New Roman"/>
        </w:rPr>
        <w:t>Penguin Books</w:t>
      </w:r>
      <w:r w:rsidR="00C93FA0">
        <w:rPr>
          <w:rFonts w:ascii="Times New Roman" w:hAnsi="Times New Roman" w:cs="Times New Roman"/>
        </w:rPr>
        <w:t>, 1997.</w:t>
      </w:r>
    </w:p>
    <w:p w14:paraId="64445C7F" w14:textId="77777777" w:rsidR="005434B7" w:rsidRDefault="005434B7" w:rsidP="005434B7">
      <w:pPr>
        <w:spacing w:after="0" w:line="240" w:lineRule="auto"/>
        <w:rPr>
          <w:rFonts w:ascii="Times New Roman" w:hAnsi="Times New Roman" w:cs="Times New Roman"/>
        </w:rPr>
      </w:pPr>
    </w:p>
    <w:p w14:paraId="5A85B6ED" w14:textId="429EE1AC" w:rsidR="005434B7" w:rsidRDefault="005434B7" w:rsidP="005434B7">
      <w:pPr>
        <w:spacing w:after="0" w:line="240" w:lineRule="auto"/>
        <w:rPr>
          <w:rFonts w:ascii="Times New Roman" w:hAnsi="Times New Roman" w:cs="Times New Roman"/>
        </w:rPr>
      </w:pPr>
      <w:r>
        <w:rPr>
          <w:rFonts w:ascii="Times New Roman" w:hAnsi="Times New Roman" w:cs="Times New Roman"/>
        </w:rPr>
        <w:t xml:space="preserve">Forey, Alan. </w:t>
      </w:r>
      <w:proofErr w:type="gramStart"/>
      <w:r>
        <w:rPr>
          <w:rFonts w:ascii="Times New Roman" w:hAnsi="Times New Roman" w:cs="Times New Roman"/>
          <w:i/>
          <w:iCs/>
        </w:rPr>
        <w:t>The Military</w:t>
      </w:r>
      <w:proofErr w:type="gramEnd"/>
      <w:r>
        <w:rPr>
          <w:rFonts w:ascii="Times New Roman" w:hAnsi="Times New Roman" w:cs="Times New Roman"/>
          <w:i/>
          <w:iCs/>
        </w:rPr>
        <w:t xml:space="preserve"> Orders: From the Twelfth to the Early Fourteenth Centuries</w:t>
      </w:r>
      <w:r>
        <w:rPr>
          <w:rFonts w:ascii="Times New Roman" w:hAnsi="Times New Roman" w:cs="Times New Roman"/>
        </w:rPr>
        <w:t xml:space="preserve">. </w:t>
      </w:r>
      <w:r>
        <w:rPr>
          <w:rFonts w:ascii="Times New Roman" w:hAnsi="Times New Roman" w:cs="Times New Roman"/>
        </w:rPr>
        <w:tab/>
        <w:t>University of Toronto Press, 1992.</w:t>
      </w:r>
    </w:p>
    <w:p w14:paraId="67865C2C" w14:textId="77777777" w:rsidR="005434B7" w:rsidRDefault="005434B7" w:rsidP="005434B7">
      <w:pPr>
        <w:spacing w:after="0" w:line="240" w:lineRule="auto"/>
        <w:rPr>
          <w:rFonts w:ascii="Times New Roman" w:hAnsi="Times New Roman" w:cs="Times New Roman"/>
        </w:rPr>
      </w:pPr>
    </w:p>
    <w:p w14:paraId="347CCE2F" w14:textId="107A707F" w:rsidR="00580134" w:rsidRDefault="005434B7" w:rsidP="005434B7">
      <w:pPr>
        <w:spacing w:after="0" w:line="240" w:lineRule="auto"/>
        <w:rPr>
          <w:rFonts w:ascii="Times New Roman" w:hAnsi="Times New Roman" w:cs="Times New Roman"/>
        </w:rPr>
      </w:pPr>
      <w:r>
        <w:rPr>
          <w:rFonts w:ascii="Times New Roman" w:hAnsi="Times New Roman" w:cs="Times New Roman"/>
        </w:rPr>
        <w:t xml:space="preserve">Martin, Janet. </w:t>
      </w:r>
      <w:r>
        <w:rPr>
          <w:rFonts w:ascii="Times New Roman" w:hAnsi="Times New Roman" w:cs="Times New Roman"/>
          <w:i/>
          <w:iCs/>
        </w:rPr>
        <w:t>Medieval Russia: 980-1584</w:t>
      </w:r>
      <w:r>
        <w:rPr>
          <w:rFonts w:ascii="Times New Roman" w:hAnsi="Times New Roman" w:cs="Times New Roman"/>
        </w:rPr>
        <w:t>. 2</w:t>
      </w:r>
      <w:r w:rsidRPr="0015538C">
        <w:rPr>
          <w:rFonts w:ascii="Times New Roman" w:hAnsi="Times New Roman" w:cs="Times New Roman"/>
          <w:vertAlign w:val="superscript"/>
        </w:rPr>
        <w:t>nd</w:t>
      </w:r>
      <w:r>
        <w:rPr>
          <w:rFonts w:ascii="Times New Roman" w:hAnsi="Times New Roman" w:cs="Times New Roman"/>
        </w:rPr>
        <w:t xml:space="preserve"> ed. Cambridge University Press, 2007.</w:t>
      </w:r>
    </w:p>
    <w:p w14:paraId="6439C43C" w14:textId="77777777" w:rsidR="005434B7" w:rsidRPr="005C516A" w:rsidRDefault="005434B7" w:rsidP="005434B7">
      <w:pPr>
        <w:spacing w:after="0" w:line="240" w:lineRule="auto"/>
        <w:rPr>
          <w:rFonts w:ascii="Times New Roman" w:hAnsi="Times New Roman" w:cs="Times New Roman"/>
        </w:rPr>
      </w:pPr>
    </w:p>
    <w:p w14:paraId="19E5784C" w14:textId="505EE9BC" w:rsidR="005434B7" w:rsidRDefault="005434B7" w:rsidP="005434B7">
      <w:pPr>
        <w:spacing w:after="0" w:line="240" w:lineRule="auto"/>
        <w:rPr>
          <w:rFonts w:ascii="Times New Roman" w:hAnsi="Times New Roman" w:cs="Times New Roman"/>
        </w:rPr>
      </w:pPr>
      <w:r w:rsidRPr="00D26D71">
        <w:rPr>
          <w:rFonts w:ascii="Times New Roman" w:hAnsi="Times New Roman" w:cs="Times New Roman"/>
        </w:rPr>
        <w:t xml:space="preserve">Pluskowski, Aleksander. </w:t>
      </w:r>
      <w:r>
        <w:rPr>
          <w:rFonts w:ascii="Times New Roman" w:hAnsi="Times New Roman" w:cs="Times New Roman"/>
          <w:i/>
          <w:iCs/>
        </w:rPr>
        <w:t>The Teutonic Knights: The Rise and Fall of a Religious Corporation</w:t>
      </w:r>
      <w:r>
        <w:rPr>
          <w:rFonts w:ascii="Times New Roman" w:hAnsi="Times New Roman" w:cs="Times New Roman"/>
        </w:rPr>
        <w:t xml:space="preserve">. </w:t>
      </w:r>
      <w:r>
        <w:rPr>
          <w:rFonts w:ascii="Times New Roman" w:hAnsi="Times New Roman" w:cs="Times New Roman"/>
        </w:rPr>
        <w:tab/>
      </w:r>
      <w:proofErr w:type="spellStart"/>
      <w:r>
        <w:rPr>
          <w:rFonts w:ascii="Times New Roman" w:hAnsi="Times New Roman" w:cs="Times New Roman"/>
        </w:rPr>
        <w:t>Reaktion</w:t>
      </w:r>
      <w:proofErr w:type="spellEnd"/>
      <w:r>
        <w:rPr>
          <w:rFonts w:ascii="Times New Roman" w:hAnsi="Times New Roman" w:cs="Times New Roman"/>
        </w:rPr>
        <w:t xml:space="preserve"> Books, 2024. ProQuest </w:t>
      </w:r>
      <w:proofErr w:type="spellStart"/>
      <w:r>
        <w:rPr>
          <w:rFonts w:ascii="Times New Roman" w:hAnsi="Times New Roman" w:cs="Times New Roman"/>
        </w:rPr>
        <w:t>Ebook</w:t>
      </w:r>
      <w:proofErr w:type="spellEnd"/>
      <w:r>
        <w:rPr>
          <w:rFonts w:ascii="Times New Roman" w:hAnsi="Times New Roman" w:cs="Times New Roman"/>
        </w:rPr>
        <w:t xml:space="preserve"> Central.</w:t>
      </w:r>
    </w:p>
    <w:p w14:paraId="5D1D86F3" w14:textId="77777777" w:rsidR="005434B7" w:rsidRDefault="005434B7" w:rsidP="005434B7">
      <w:pPr>
        <w:spacing w:after="0" w:line="240" w:lineRule="auto"/>
        <w:rPr>
          <w:rFonts w:ascii="Times New Roman" w:hAnsi="Times New Roman" w:cs="Times New Roman"/>
        </w:rPr>
      </w:pPr>
    </w:p>
    <w:p w14:paraId="3106A01A" w14:textId="1D084759" w:rsidR="00191856" w:rsidRPr="00965EBA" w:rsidRDefault="005434B7" w:rsidP="005434B7">
      <w:pPr>
        <w:spacing w:after="0" w:line="240" w:lineRule="auto"/>
        <w:rPr>
          <w:rFonts w:ascii="Times New Roman" w:hAnsi="Times New Roman" w:cs="Times New Roman"/>
        </w:rPr>
      </w:pPr>
      <w:proofErr w:type="spellStart"/>
      <w:r>
        <w:rPr>
          <w:rFonts w:ascii="Times New Roman" w:hAnsi="Times New Roman" w:cs="Times New Roman"/>
        </w:rPr>
        <w:t>Selart</w:t>
      </w:r>
      <w:proofErr w:type="spellEnd"/>
      <w:r>
        <w:rPr>
          <w:rFonts w:ascii="Times New Roman" w:hAnsi="Times New Roman" w:cs="Times New Roman"/>
        </w:rPr>
        <w:t>, Anti. “</w:t>
      </w:r>
      <w:r w:rsidR="00F53F66">
        <w:rPr>
          <w:rFonts w:ascii="Times New Roman" w:hAnsi="Times New Roman" w:cs="Times New Roman"/>
        </w:rPr>
        <w:t>Pope</w:t>
      </w:r>
      <w:r>
        <w:rPr>
          <w:rFonts w:ascii="Times New Roman" w:hAnsi="Times New Roman" w:cs="Times New Roman"/>
        </w:rPr>
        <w:t xml:space="preserve">s and Livonia in the First Half of the Thirteenth Century: Means and Chances </w:t>
      </w:r>
      <w:r>
        <w:rPr>
          <w:rFonts w:ascii="Times New Roman" w:hAnsi="Times New Roman" w:cs="Times New Roman"/>
        </w:rPr>
        <w:tab/>
        <w:t xml:space="preserve">to Shape the Periphery.” </w:t>
      </w:r>
      <w:r>
        <w:rPr>
          <w:rFonts w:ascii="Times New Roman" w:hAnsi="Times New Roman" w:cs="Times New Roman"/>
          <w:i/>
          <w:iCs/>
        </w:rPr>
        <w:t>The Catholic Historical Review</w:t>
      </w:r>
      <w:r>
        <w:rPr>
          <w:rFonts w:ascii="Times New Roman" w:hAnsi="Times New Roman" w:cs="Times New Roman"/>
        </w:rPr>
        <w:t xml:space="preserve"> 100, no. 3 (2014): 437-458. </w:t>
      </w:r>
      <w:r>
        <w:rPr>
          <w:rFonts w:ascii="Times New Roman" w:hAnsi="Times New Roman" w:cs="Times New Roman"/>
        </w:rPr>
        <w:tab/>
      </w:r>
      <w:r w:rsidR="004B11F1">
        <w:rPr>
          <w:rFonts w:ascii="Times New Roman" w:hAnsi="Times New Roman" w:cs="Times New Roman"/>
        </w:rPr>
        <w:t>https://</w:t>
      </w:r>
      <w:r w:rsidR="00D96372">
        <w:rPr>
          <w:rFonts w:ascii="Times New Roman" w:hAnsi="Times New Roman" w:cs="Times New Roman"/>
        </w:rPr>
        <w:t>www.jstor.org/stable/4389672</w:t>
      </w:r>
      <w:r w:rsidR="00DD1C25">
        <w:rPr>
          <w:rFonts w:ascii="Times New Roman" w:hAnsi="Times New Roman" w:cs="Times New Roman"/>
        </w:rPr>
        <w:t>.</w:t>
      </w:r>
    </w:p>
    <w:p w14:paraId="62261955" w14:textId="77777777" w:rsidR="003F47F4" w:rsidRDefault="003F47F4" w:rsidP="000800E2">
      <w:pPr>
        <w:spacing w:after="0" w:line="240" w:lineRule="auto"/>
        <w:rPr>
          <w:rFonts w:ascii="Times New Roman" w:hAnsi="Times New Roman" w:cs="Times New Roman"/>
        </w:rPr>
      </w:pPr>
    </w:p>
    <w:p w14:paraId="081DEFDD" w14:textId="46F443BB" w:rsidR="0020267B" w:rsidRDefault="00B463CA">
      <w:pPr>
        <w:spacing w:after="0" w:line="240" w:lineRule="auto"/>
        <w:rPr>
          <w:rFonts w:ascii="Times New Roman" w:hAnsi="Times New Roman" w:cs="Times New Roman"/>
        </w:rPr>
      </w:pPr>
      <w:r>
        <w:rPr>
          <w:rFonts w:ascii="Times New Roman" w:hAnsi="Times New Roman" w:cs="Times New Roman"/>
        </w:rPr>
        <w:t xml:space="preserve">Urban, William. </w:t>
      </w:r>
      <w:r>
        <w:rPr>
          <w:rFonts w:ascii="Times New Roman" w:hAnsi="Times New Roman" w:cs="Times New Roman"/>
          <w:i/>
          <w:iCs/>
        </w:rPr>
        <w:t xml:space="preserve">The Teutonic Knights: </w:t>
      </w:r>
      <w:proofErr w:type="gramStart"/>
      <w:r>
        <w:rPr>
          <w:rFonts w:ascii="Times New Roman" w:hAnsi="Times New Roman" w:cs="Times New Roman"/>
          <w:i/>
          <w:iCs/>
        </w:rPr>
        <w:t>A Military</w:t>
      </w:r>
      <w:proofErr w:type="gramEnd"/>
      <w:r>
        <w:rPr>
          <w:rFonts w:ascii="Times New Roman" w:hAnsi="Times New Roman" w:cs="Times New Roman"/>
          <w:i/>
          <w:iCs/>
        </w:rPr>
        <w:t xml:space="preserve"> History</w:t>
      </w:r>
      <w:r>
        <w:rPr>
          <w:rFonts w:ascii="Times New Roman" w:hAnsi="Times New Roman" w:cs="Times New Roman"/>
        </w:rPr>
        <w:t xml:space="preserve">. </w:t>
      </w:r>
      <w:r w:rsidR="00F051D9">
        <w:rPr>
          <w:rFonts w:ascii="Times New Roman" w:hAnsi="Times New Roman" w:cs="Times New Roman"/>
        </w:rPr>
        <w:t>Greenhill Books</w:t>
      </w:r>
      <w:r w:rsidR="00AE3D16">
        <w:rPr>
          <w:rFonts w:ascii="Times New Roman" w:hAnsi="Times New Roman" w:cs="Times New Roman"/>
        </w:rPr>
        <w:t xml:space="preserve">, </w:t>
      </w:r>
      <w:r w:rsidR="0044509C">
        <w:rPr>
          <w:rFonts w:ascii="Times New Roman" w:hAnsi="Times New Roman" w:cs="Times New Roman"/>
        </w:rPr>
        <w:t>2003</w:t>
      </w:r>
      <w:r w:rsidR="00023141">
        <w:rPr>
          <w:rFonts w:ascii="Times New Roman" w:hAnsi="Times New Roman" w:cs="Times New Roman"/>
        </w:rPr>
        <w:t>.</w:t>
      </w:r>
    </w:p>
    <w:p w14:paraId="3FAA5C2D" w14:textId="77777777" w:rsidR="003C3F8D" w:rsidRDefault="003C3F8D">
      <w:pPr>
        <w:spacing w:after="0" w:line="240" w:lineRule="auto"/>
        <w:rPr>
          <w:rFonts w:ascii="Times New Roman" w:hAnsi="Times New Roman" w:cs="Times New Roman"/>
        </w:rPr>
      </w:pPr>
    </w:p>
    <w:p w14:paraId="2DC9B6F1" w14:textId="77777777" w:rsidR="003C3F8D" w:rsidRPr="005C516A" w:rsidRDefault="003C3F8D" w:rsidP="003C3F8D">
      <w:pPr>
        <w:spacing w:after="0" w:line="240" w:lineRule="auto"/>
        <w:rPr>
          <w:rFonts w:ascii="Times New Roman" w:hAnsi="Times New Roman" w:cs="Times New Roman"/>
        </w:rPr>
      </w:pPr>
      <w:r w:rsidRPr="005C516A">
        <w:rPr>
          <w:rFonts w:ascii="Times New Roman" w:hAnsi="Times New Roman" w:cs="Times New Roman"/>
        </w:rPr>
        <w:t>von Jeroschin</w:t>
      </w:r>
      <w:r>
        <w:rPr>
          <w:rFonts w:ascii="Times New Roman" w:hAnsi="Times New Roman" w:cs="Times New Roman"/>
        </w:rPr>
        <w:t>, Nikolaus</w:t>
      </w:r>
      <w:r w:rsidRPr="005C516A">
        <w:rPr>
          <w:rFonts w:ascii="Times New Roman" w:hAnsi="Times New Roman" w:cs="Times New Roman"/>
        </w:rPr>
        <w:t xml:space="preserve">. </w:t>
      </w:r>
      <w:r w:rsidRPr="005C516A">
        <w:rPr>
          <w:rFonts w:ascii="Times New Roman" w:hAnsi="Times New Roman" w:cs="Times New Roman"/>
          <w:i/>
          <w:iCs/>
        </w:rPr>
        <w:t>The C</w:t>
      </w:r>
      <w:r>
        <w:rPr>
          <w:rFonts w:ascii="Times New Roman" w:hAnsi="Times New Roman" w:cs="Times New Roman"/>
          <w:i/>
          <w:iCs/>
        </w:rPr>
        <w:t>hronicle of Prussia</w:t>
      </w:r>
      <w:r>
        <w:rPr>
          <w:rFonts w:ascii="Times New Roman" w:hAnsi="Times New Roman" w:cs="Times New Roman"/>
        </w:rPr>
        <w:t>. Translated by Mary Fischer. Routledge, 2016.</w:t>
      </w:r>
    </w:p>
    <w:p w14:paraId="23D747EF" w14:textId="77777777" w:rsidR="0020267B" w:rsidRDefault="0020267B">
      <w:pPr>
        <w:rPr>
          <w:rFonts w:ascii="Times New Roman" w:hAnsi="Times New Roman" w:cs="Times New Roman"/>
        </w:rPr>
      </w:pPr>
      <w:r>
        <w:rPr>
          <w:rFonts w:ascii="Times New Roman" w:hAnsi="Times New Roman" w:cs="Times New Roman"/>
        </w:rPr>
        <w:br w:type="page"/>
      </w:r>
    </w:p>
    <w:p w14:paraId="6A4FC5A5" w14:textId="77777777" w:rsidR="00BD4CD8" w:rsidRDefault="00BD4CD8" w:rsidP="00BD4CD8">
      <w:pPr>
        <w:spacing w:line="480" w:lineRule="auto"/>
        <w:jc w:val="center"/>
        <w:rPr>
          <w:rFonts w:ascii="Times New Roman" w:hAnsi="Times New Roman" w:cs="Times New Roman"/>
        </w:rPr>
      </w:pPr>
      <w:r>
        <w:rPr>
          <w:rFonts w:ascii="Times New Roman" w:hAnsi="Times New Roman" w:cs="Times New Roman"/>
          <w:b/>
          <w:bCs/>
        </w:rPr>
        <w:lastRenderedPageBreak/>
        <w:t>Appendix A</w:t>
      </w:r>
    </w:p>
    <w:p w14:paraId="466E5D01" w14:textId="2B4A2BA4" w:rsidR="00547CD6" w:rsidRPr="00614E07" w:rsidRDefault="00547CD6" w:rsidP="00547CD6">
      <w:pPr>
        <w:spacing w:line="480" w:lineRule="auto"/>
        <w:rPr>
          <w:rFonts w:ascii="Times New Roman" w:hAnsi="Times New Roman" w:cs="Times New Roman"/>
        </w:rPr>
      </w:pPr>
      <w:r>
        <w:rPr>
          <w:rFonts w:ascii="Times New Roman" w:hAnsi="Times New Roman" w:cs="Times New Roman"/>
        </w:rPr>
        <w:tab/>
      </w:r>
      <w:r w:rsidRPr="00547CD6">
        <w:rPr>
          <w:rFonts w:ascii="Times New Roman" w:hAnsi="Times New Roman" w:cs="Times New Roman"/>
        </w:rPr>
        <w:t>The Order’s territories in the medieval Baltic, with boundaries in Prussia from c. 1400 and Livonia c. 1450, including the outline of the former Danish Duchy of Estonia, which was sold to the Teutonic Order in 1346.</w:t>
      </w:r>
      <w:r w:rsidR="00614E07">
        <w:rPr>
          <w:rFonts w:ascii="Times New Roman" w:hAnsi="Times New Roman" w:cs="Times New Roman"/>
        </w:rPr>
        <w:t xml:space="preserve"> From </w:t>
      </w:r>
      <w:r w:rsidR="00614E07">
        <w:rPr>
          <w:rFonts w:ascii="Times New Roman" w:hAnsi="Times New Roman" w:cs="Times New Roman"/>
          <w:i/>
          <w:iCs/>
        </w:rPr>
        <w:t>The Teutonic Knights: The Rise and Fall of a Religious Corporation</w:t>
      </w:r>
      <w:r w:rsidR="00614E07">
        <w:rPr>
          <w:rFonts w:ascii="Times New Roman" w:hAnsi="Times New Roman" w:cs="Times New Roman"/>
        </w:rPr>
        <w:t xml:space="preserve"> by Aleksander Pluskowski.</w:t>
      </w:r>
    </w:p>
    <w:p w14:paraId="35A646BB" w14:textId="0F8E2AD5" w:rsidR="00D1259C" w:rsidRDefault="00E4706D" w:rsidP="00547CD6">
      <w:pPr>
        <w:spacing w:line="480" w:lineRule="auto"/>
        <w:rPr>
          <w:rFonts w:ascii="Times New Roman" w:hAnsi="Times New Roman" w:cs="Times New Roman"/>
        </w:rPr>
      </w:pPr>
      <w:r>
        <w:rPr>
          <w:rFonts w:ascii="Times New Roman" w:hAnsi="Times New Roman" w:cs="Times New Roman"/>
          <w:noProof/>
        </w:rPr>
        <w:drawing>
          <wp:inline distT="0" distB="0" distL="0" distR="0" wp14:anchorId="5C0DE0C7" wp14:editId="595A9BF0">
            <wp:extent cx="5176429" cy="6078382"/>
            <wp:effectExtent l="0" t="0" r="5715" b="0"/>
            <wp:docPr id="2003567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67161" name="Picture 2003567161"/>
                    <pic:cNvPicPr/>
                  </pic:nvPicPr>
                  <pic:blipFill>
                    <a:blip r:embed="rId10">
                      <a:extLst>
                        <a:ext uri="{28A0092B-C50C-407E-A947-70E740481C1C}">
                          <a14:useLocalDpi xmlns:a14="http://schemas.microsoft.com/office/drawing/2010/main" val="0"/>
                        </a:ext>
                      </a:extLst>
                    </a:blip>
                    <a:stretch>
                      <a:fillRect/>
                    </a:stretch>
                  </pic:blipFill>
                  <pic:spPr>
                    <a:xfrm>
                      <a:off x="0" y="0"/>
                      <a:ext cx="5222277" cy="6132218"/>
                    </a:xfrm>
                    <a:prstGeom prst="rect">
                      <a:avLst/>
                    </a:prstGeom>
                  </pic:spPr>
                </pic:pic>
              </a:graphicData>
            </a:graphic>
          </wp:inline>
        </w:drawing>
      </w:r>
      <w:r w:rsidR="00D1259C">
        <w:rPr>
          <w:rFonts w:ascii="Times New Roman" w:hAnsi="Times New Roman" w:cs="Times New Roman"/>
        </w:rPr>
        <w:br w:type="page"/>
      </w:r>
    </w:p>
    <w:p w14:paraId="70E0B5AE" w14:textId="77777777" w:rsidR="0023353C" w:rsidRDefault="0023353C" w:rsidP="00D1259C">
      <w:pPr>
        <w:spacing w:after="0" w:line="480" w:lineRule="auto"/>
        <w:jc w:val="center"/>
        <w:rPr>
          <w:rFonts w:ascii="Times New Roman" w:hAnsi="Times New Roman" w:cs="Times New Roman"/>
        </w:rPr>
        <w:sectPr w:rsidR="0023353C" w:rsidSect="000578D9">
          <w:headerReference w:type="default" r:id="rId11"/>
          <w:pgSz w:w="12240" w:h="15840"/>
          <w:pgMar w:top="1440" w:right="1440" w:bottom="1440" w:left="1440" w:header="720" w:footer="720" w:gutter="0"/>
          <w:pgNumType w:start="1"/>
          <w:cols w:space="720"/>
          <w:docGrid w:linePitch="360"/>
        </w:sectPr>
      </w:pPr>
    </w:p>
    <w:p w14:paraId="172A2411" w14:textId="5A945244" w:rsidR="005434B7" w:rsidRDefault="00CE4CD2" w:rsidP="0023353C">
      <w:pPr>
        <w:spacing w:after="0" w:line="480" w:lineRule="auto"/>
        <w:rPr>
          <w:rFonts w:ascii="Times New Roman" w:hAnsi="Times New Roman" w:cs="Times New Roman"/>
        </w:rPr>
      </w:pPr>
      <w:r w:rsidRPr="00CE4CD2">
        <w:rPr>
          <w:rFonts w:ascii="Times New Roman" w:hAnsi="Times New Roman" w:cs="Times New Roman"/>
        </w:rPr>
        <w:lastRenderedPageBreak/>
        <w:t>I hereby declare upon my word of honor that I have neither given nor received unauthorized help on this work.</w:t>
      </w:r>
    </w:p>
    <w:p w14:paraId="79B5AC57" w14:textId="33A2180B" w:rsidR="00CE4CD2" w:rsidRPr="00CE4CD2" w:rsidRDefault="00CE4CD2" w:rsidP="0023353C">
      <w:pPr>
        <w:spacing w:after="0" w:line="480" w:lineRule="auto"/>
        <w:rPr>
          <w:rFonts w:ascii="Times New Roman" w:hAnsi="Times New Roman" w:cs="Times New Roman"/>
        </w:rPr>
      </w:pPr>
      <w:r>
        <w:rPr>
          <w:rFonts w:ascii="Times New Roman" w:hAnsi="Times New Roman" w:cs="Times New Roman"/>
        </w:rPr>
        <w:t>Dean Crick</w:t>
      </w:r>
    </w:p>
    <w:sectPr w:rsidR="00CE4CD2" w:rsidRPr="00CE4CD2" w:rsidSect="000578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886F6" w14:textId="77777777" w:rsidR="00A86340" w:rsidRDefault="00A86340" w:rsidP="009823E9">
      <w:pPr>
        <w:spacing w:after="0" w:line="240" w:lineRule="auto"/>
      </w:pPr>
      <w:r>
        <w:separator/>
      </w:r>
    </w:p>
  </w:endnote>
  <w:endnote w:type="continuationSeparator" w:id="0">
    <w:p w14:paraId="70251060" w14:textId="77777777" w:rsidR="00A86340" w:rsidRDefault="00A86340" w:rsidP="00982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8CB2E" w14:textId="77777777" w:rsidR="00A86340" w:rsidRDefault="00A86340" w:rsidP="009823E9">
      <w:pPr>
        <w:spacing w:after="0" w:line="240" w:lineRule="auto"/>
      </w:pPr>
      <w:r>
        <w:separator/>
      </w:r>
    </w:p>
  </w:footnote>
  <w:footnote w:type="continuationSeparator" w:id="0">
    <w:p w14:paraId="5E5F03EA" w14:textId="77777777" w:rsidR="00A86340" w:rsidRDefault="00A86340" w:rsidP="009823E9">
      <w:pPr>
        <w:spacing w:after="0" w:line="240" w:lineRule="auto"/>
      </w:pPr>
      <w:r>
        <w:continuationSeparator/>
      </w:r>
    </w:p>
  </w:footnote>
  <w:footnote w:id="1">
    <w:p w14:paraId="5F3DE33A" w14:textId="54D76941"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Bernard of Clairvaux, </w:t>
      </w:r>
      <w:r w:rsidRPr="00584336">
        <w:rPr>
          <w:rFonts w:ascii="Times New Roman" w:hAnsi="Times New Roman" w:cs="Times New Roman"/>
          <w:i/>
          <w:iCs/>
        </w:rPr>
        <w:t>In Praise of the New Knighthood</w:t>
      </w:r>
      <w:r w:rsidRPr="00584336">
        <w:rPr>
          <w:rFonts w:ascii="Times New Roman" w:hAnsi="Times New Roman" w:cs="Times New Roman"/>
        </w:rPr>
        <w:t>, trans. Conrad Greenia (Cistercian Publications, 1977), https://history.hanover.edu/courses/excerpts/344bern2.html.</w:t>
      </w:r>
    </w:p>
  </w:footnote>
  <w:footnote w:id="2">
    <w:p w14:paraId="7FCE501E" w14:textId="66EDC392"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Alan Forey, </w:t>
      </w:r>
      <w:r w:rsidRPr="00584336">
        <w:rPr>
          <w:rFonts w:ascii="Times New Roman" w:hAnsi="Times New Roman" w:cs="Times New Roman"/>
          <w:i/>
          <w:iCs/>
        </w:rPr>
        <w:t>The Military Orders: From the Twelfth to the Fourteenth Centuries</w:t>
      </w:r>
      <w:r w:rsidRPr="00584336">
        <w:rPr>
          <w:rFonts w:ascii="Times New Roman" w:hAnsi="Times New Roman" w:cs="Times New Roman"/>
        </w:rPr>
        <w:t xml:space="preserve"> (University of Toronto Press, 1992), 18-20.</w:t>
      </w:r>
    </w:p>
  </w:footnote>
  <w:footnote w:id="3">
    <w:p w14:paraId="3B2FA154" w14:textId="4A749387"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Forey, </w:t>
      </w:r>
      <w:r w:rsidRPr="00584336">
        <w:rPr>
          <w:rFonts w:ascii="Times New Roman" w:hAnsi="Times New Roman" w:cs="Times New Roman"/>
          <w:i/>
          <w:iCs/>
        </w:rPr>
        <w:t>Military Orders</w:t>
      </w:r>
      <w:r w:rsidRPr="00584336">
        <w:rPr>
          <w:rFonts w:ascii="Times New Roman" w:hAnsi="Times New Roman" w:cs="Times New Roman"/>
        </w:rPr>
        <w:t>, 9.</w:t>
      </w:r>
    </w:p>
  </w:footnote>
  <w:footnote w:id="4">
    <w:p w14:paraId="4AE247E7" w14:textId="754C7390"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Eric Christiansen, </w:t>
      </w:r>
      <w:r w:rsidRPr="00584336">
        <w:rPr>
          <w:rFonts w:ascii="Times New Roman" w:hAnsi="Times New Roman" w:cs="Times New Roman"/>
          <w:i/>
          <w:iCs/>
        </w:rPr>
        <w:t>The Northern Crusades</w:t>
      </w:r>
      <w:r w:rsidRPr="00584336">
        <w:rPr>
          <w:rFonts w:ascii="Times New Roman" w:hAnsi="Times New Roman" w:cs="Times New Roman"/>
        </w:rPr>
        <w:t>, 2</w:t>
      </w:r>
      <w:r w:rsidRPr="00584336">
        <w:rPr>
          <w:rFonts w:ascii="Times New Roman" w:hAnsi="Times New Roman" w:cs="Times New Roman"/>
          <w:vertAlign w:val="superscript"/>
        </w:rPr>
        <w:t>nd</w:t>
      </w:r>
      <w:r w:rsidRPr="00584336">
        <w:rPr>
          <w:rFonts w:ascii="Times New Roman" w:hAnsi="Times New Roman" w:cs="Times New Roman"/>
        </w:rPr>
        <w:t xml:space="preserve"> ed. (Penguin Books, 1997), 93-122.</w:t>
      </w:r>
    </w:p>
  </w:footnote>
  <w:footnote w:id="5">
    <w:p w14:paraId="0AB17EBC" w14:textId="10FA4D22"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A. Bruce Boswell, “Territorial Division and the Mongol Invasions,” in </w:t>
      </w:r>
      <w:r w:rsidRPr="00584336">
        <w:rPr>
          <w:rFonts w:ascii="Times New Roman" w:hAnsi="Times New Roman" w:cs="Times New Roman"/>
          <w:i/>
          <w:iCs/>
        </w:rPr>
        <w:t>The Cambridge History of Poland: From Origins to Sobieski (to 1696)</w:t>
      </w:r>
      <w:r w:rsidRPr="00584336">
        <w:rPr>
          <w:rFonts w:ascii="Times New Roman" w:hAnsi="Times New Roman" w:cs="Times New Roman"/>
        </w:rPr>
        <w:t xml:space="preserve">, ed. W. F. Reddaway, J.H. Penson, O. Halecki, and R. </w:t>
      </w:r>
      <w:proofErr w:type="spellStart"/>
      <w:r w:rsidRPr="00584336">
        <w:rPr>
          <w:rFonts w:ascii="Times New Roman" w:hAnsi="Times New Roman" w:cs="Times New Roman"/>
        </w:rPr>
        <w:t>Dyboski</w:t>
      </w:r>
      <w:proofErr w:type="spellEnd"/>
      <w:r w:rsidRPr="00584336">
        <w:rPr>
          <w:rFonts w:ascii="Times New Roman" w:hAnsi="Times New Roman" w:cs="Times New Roman"/>
        </w:rPr>
        <w:t xml:space="preserve"> (University of Cambridge Press, 1950), 86.</w:t>
      </w:r>
    </w:p>
  </w:footnote>
  <w:footnote w:id="6">
    <w:p w14:paraId="3B63AF7E" w14:textId="6D551305" w:rsidR="001A283D" w:rsidRPr="00584336" w:rsidRDefault="001A283D" w:rsidP="00190048">
      <w:pPr>
        <w:spacing w:after="0" w:line="240" w:lineRule="auto"/>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sz w:val="20"/>
          <w:szCs w:val="20"/>
        </w:rPr>
        <w:t xml:space="preserve">Nikolaus von Jeroschin, </w:t>
      </w:r>
      <w:r w:rsidRPr="00584336">
        <w:rPr>
          <w:rFonts w:ascii="Times New Roman" w:hAnsi="Times New Roman" w:cs="Times New Roman"/>
          <w:i/>
          <w:iCs/>
          <w:sz w:val="20"/>
          <w:szCs w:val="20"/>
        </w:rPr>
        <w:t>The Chronicle of Prussia</w:t>
      </w:r>
      <w:r w:rsidRPr="00584336">
        <w:rPr>
          <w:rFonts w:ascii="Times New Roman" w:hAnsi="Times New Roman" w:cs="Times New Roman"/>
          <w:sz w:val="20"/>
          <w:szCs w:val="20"/>
        </w:rPr>
        <w:t>, trans. Mary Fischer (Routledge, 2016), 43-7.</w:t>
      </w:r>
    </w:p>
  </w:footnote>
  <w:footnote w:id="7">
    <w:p w14:paraId="49013FE0" w14:textId="26A65061"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William Urban, </w:t>
      </w:r>
      <w:r w:rsidRPr="00584336">
        <w:rPr>
          <w:rFonts w:ascii="Times New Roman" w:hAnsi="Times New Roman" w:cs="Times New Roman"/>
          <w:i/>
          <w:iCs/>
        </w:rPr>
        <w:t>The Teutonic Knights: A Military History</w:t>
      </w:r>
      <w:r w:rsidRPr="00584336">
        <w:rPr>
          <w:rFonts w:ascii="Times New Roman" w:hAnsi="Times New Roman" w:cs="Times New Roman"/>
        </w:rPr>
        <w:t>, (Greenhill Books, 2003), 41-51.</w:t>
      </w:r>
    </w:p>
  </w:footnote>
  <w:footnote w:id="8">
    <w:p w14:paraId="343DD563" w14:textId="42024D1C"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Urban, </w:t>
      </w:r>
      <w:r w:rsidRPr="00584336">
        <w:rPr>
          <w:rFonts w:ascii="Times New Roman" w:hAnsi="Times New Roman" w:cs="Times New Roman"/>
          <w:i/>
          <w:iCs/>
        </w:rPr>
        <w:t>Teutonic Knight</w:t>
      </w:r>
      <w:r w:rsidRPr="00584336">
        <w:rPr>
          <w:rFonts w:ascii="Times New Roman" w:hAnsi="Times New Roman" w:cs="Times New Roman"/>
        </w:rPr>
        <w:t>, 56-7.</w:t>
      </w:r>
    </w:p>
  </w:footnote>
  <w:footnote w:id="9">
    <w:p w14:paraId="7072C75F" w14:textId="6E8099B6" w:rsidR="001A283D" w:rsidRPr="0037473A" w:rsidRDefault="001A283D">
      <w:pPr>
        <w:pStyle w:val="FootnoteText"/>
        <w:rPr>
          <w:rFonts w:ascii="Times New Roman" w:hAnsi="Times New Roman" w:cs="Times New Roman"/>
        </w:rPr>
      </w:pPr>
      <w:r>
        <w:tab/>
      </w:r>
      <w:r w:rsidRPr="0037473A">
        <w:rPr>
          <w:rStyle w:val="FootnoteReference"/>
          <w:rFonts w:ascii="Times New Roman" w:hAnsi="Times New Roman" w:cs="Times New Roman"/>
        </w:rPr>
        <w:footnoteRef/>
      </w:r>
      <w:r w:rsidRPr="0037473A">
        <w:rPr>
          <w:rFonts w:ascii="Times New Roman" w:hAnsi="Times New Roman" w:cs="Times New Roman"/>
        </w:rPr>
        <w:t>The Golden Bull of Rimini is dated to 1226, however it was likely issued in 1234 and backdated to 1226 either to lend it more legitimacy or because to referred to deals made in 1226.</w:t>
      </w:r>
    </w:p>
  </w:footnote>
  <w:footnote w:id="10">
    <w:p w14:paraId="0292A898" w14:textId="54BBAA8F"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Aleksander Pluskowski, </w:t>
      </w:r>
      <w:r w:rsidRPr="00584336">
        <w:rPr>
          <w:rFonts w:ascii="Times New Roman" w:hAnsi="Times New Roman" w:cs="Times New Roman"/>
          <w:i/>
          <w:iCs/>
        </w:rPr>
        <w:t>The Teutonic Knights: The Rise and Fall of a Religious Corporation</w:t>
      </w:r>
      <w:r w:rsidRPr="00584336">
        <w:rPr>
          <w:rFonts w:ascii="Times New Roman" w:hAnsi="Times New Roman" w:cs="Times New Roman"/>
        </w:rPr>
        <w:t>, (</w:t>
      </w:r>
      <w:proofErr w:type="spellStart"/>
      <w:r w:rsidRPr="00584336">
        <w:rPr>
          <w:rFonts w:ascii="Times New Roman" w:hAnsi="Times New Roman" w:cs="Times New Roman"/>
        </w:rPr>
        <w:t>Reaktion</w:t>
      </w:r>
      <w:proofErr w:type="spellEnd"/>
      <w:r w:rsidRPr="00584336">
        <w:rPr>
          <w:rFonts w:ascii="Times New Roman" w:hAnsi="Times New Roman" w:cs="Times New Roman"/>
        </w:rPr>
        <w:t xml:space="preserve"> Books, 2024), 57, ProQuest </w:t>
      </w:r>
      <w:proofErr w:type="spellStart"/>
      <w:r w:rsidRPr="00584336">
        <w:rPr>
          <w:rFonts w:ascii="Times New Roman" w:hAnsi="Times New Roman" w:cs="Times New Roman"/>
        </w:rPr>
        <w:t>Ebook</w:t>
      </w:r>
      <w:proofErr w:type="spellEnd"/>
      <w:r w:rsidRPr="00584336">
        <w:rPr>
          <w:rFonts w:ascii="Times New Roman" w:hAnsi="Times New Roman" w:cs="Times New Roman"/>
        </w:rPr>
        <w:t xml:space="preserve"> Central.</w:t>
      </w:r>
    </w:p>
  </w:footnote>
  <w:footnote w:id="11">
    <w:p w14:paraId="60C46D56" w14:textId="6BDBA02F"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Christiansen, </w:t>
      </w:r>
      <w:r w:rsidRPr="00584336">
        <w:rPr>
          <w:rFonts w:ascii="Times New Roman" w:hAnsi="Times New Roman" w:cs="Times New Roman"/>
          <w:i/>
          <w:iCs/>
        </w:rPr>
        <w:t>Northern Crusades</w:t>
      </w:r>
      <w:r w:rsidRPr="00584336">
        <w:rPr>
          <w:rFonts w:ascii="Times New Roman" w:hAnsi="Times New Roman" w:cs="Times New Roman"/>
        </w:rPr>
        <w:t>, 106-7.</w:t>
      </w:r>
    </w:p>
  </w:footnote>
  <w:footnote w:id="12">
    <w:p w14:paraId="6684F826" w14:textId="79A3FDCA"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Boswell, “Territorial Division and Mongol Conquest,” 94.</w:t>
      </w:r>
    </w:p>
  </w:footnote>
  <w:footnote w:id="13">
    <w:p w14:paraId="0B5FCE97" w14:textId="6D8D237A"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Christiansen, </w:t>
      </w:r>
      <w:r w:rsidRPr="00584336">
        <w:rPr>
          <w:rFonts w:ascii="Times New Roman" w:hAnsi="Times New Roman" w:cs="Times New Roman"/>
          <w:i/>
          <w:iCs/>
        </w:rPr>
        <w:t>Northern Crusades</w:t>
      </w:r>
      <w:r w:rsidRPr="00584336">
        <w:rPr>
          <w:rFonts w:ascii="Times New Roman" w:hAnsi="Times New Roman" w:cs="Times New Roman"/>
        </w:rPr>
        <w:t>, 108-9.</w:t>
      </w:r>
    </w:p>
  </w:footnote>
  <w:footnote w:id="14">
    <w:p w14:paraId="1C9B9A33" w14:textId="29A97890"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 Christiansen, </w:t>
      </w:r>
      <w:r w:rsidRPr="00584336">
        <w:rPr>
          <w:rFonts w:ascii="Times New Roman" w:hAnsi="Times New Roman" w:cs="Times New Roman"/>
          <w:i/>
          <w:iCs/>
        </w:rPr>
        <w:t>Northern Crusades</w:t>
      </w:r>
      <w:r w:rsidRPr="00584336">
        <w:rPr>
          <w:rFonts w:ascii="Times New Roman" w:hAnsi="Times New Roman" w:cs="Times New Roman"/>
        </w:rPr>
        <w:t>, 108-9.</w:t>
      </w:r>
    </w:p>
  </w:footnote>
  <w:footnote w:id="15">
    <w:p w14:paraId="01D4DC89" w14:textId="767C87D5"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 Anti </w:t>
      </w:r>
      <w:proofErr w:type="spellStart"/>
      <w:r w:rsidRPr="00584336">
        <w:rPr>
          <w:rFonts w:ascii="Times New Roman" w:hAnsi="Times New Roman" w:cs="Times New Roman"/>
        </w:rPr>
        <w:t>Selart</w:t>
      </w:r>
      <w:proofErr w:type="spellEnd"/>
      <w:r w:rsidRPr="00584336">
        <w:rPr>
          <w:rFonts w:ascii="Times New Roman" w:hAnsi="Times New Roman" w:cs="Times New Roman"/>
        </w:rPr>
        <w:t xml:space="preserve">, “The </w:t>
      </w:r>
      <w:r>
        <w:rPr>
          <w:rFonts w:ascii="Times New Roman" w:hAnsi="Times New Roman" w:cs="Times New Roman"/>
        </w:rPr>
        <w:t>Pope</w:t>
      </w:r>
      <w:r w:rsidRPr="00584336">
        <w:rPr>
          <w:rFonts w:ascii="Times New Roman" w:hAnsi="Times New Roman" w:cs="Times New Roman"/>
        </w:rPr>
        <w:t xml:space="preserve">s and Livonia in the First Half of the Thirteenth Century: Means and Chances to Shape the Periphery,” </w:t>
      </w:r>
      <w:r w:rsidRPr="00584336">
        <w:rPr>
          <w:rFonts w:ascii="Times New Roman" w:hAnsi="Times New Roman" w:cs="Times New Roman"/>
          <w:i/>
          <w:iCs/>
        </w:rPr>
        <w:t>The Catholic Historical Review</w:t>
      </w:r>
      <w:r w:rsidRPr="00584336">
        <w:rPr>
          <w:rFonts w:ascii="Times New Roman" w:hAnsi="Times New Roman" w:cs="Times New Roman"/>
        </w:rPr>
        <w:t xml:space="preserve"> 100, no. 3 (2014): 441, JSTOR.</w:t>
      </w:r>
    </w:p>
  </w:footnote>
  <w:footnote w:id="16">
    <w:p w14:paraId="7A6D5B18" w14:textId="53D63A53"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 </w:t>
      </w:r>
      <w:proofErr w:type="spellStart"/>
      <w:r w:rsidRPr="00584336">
        <w:rPr>
          <w:rFonts w:ascii="Times New Roman" w:hAnsi="Times New Roman" w:cs="Times New Roman"/>
        </w:rPr>
        <w:t>Selart</w:t>
      </w:r>
      <w:proofErr w:type="spellEnd"/>
      <w:r w:rsidRPr="00584336">
        <w:rPr>
          <w:rFonts w:ascii="Times New Roman" w:hAnsi="Times New Roman" w:cs="Times New Roman"/>
        </w:rPr>
        <w:t>, “</w:t>
      </w:r>
      <w:r>
        <w:rPr>
          <w:rFonts w:ascii="Times New Roman" w:hAnsi="Times New Roman" w:cs="Times New Roman"/>
        </w:rPr>
        <w:t>Pope</w:t>
      </w:r>
      <w:r w:rsidRPr="00584336">
        <w:rPr>
          <w:rFonts w:ascii="Times New Roman" w:hAnsi="Times New Roman" w:cs="Times New Roman"/>
        </w:rPr>
        <w:t xml:space="preserve">s and Livonia in the First Half of the Thirteenth Century,” 446-47. </w:t>
      </w:r>
    </w:p>
  </w:footnote>
  <w:footnote w:id="17">
    <w:p w14:paraId="07FE5385" w14:textId="3BC98C11"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Christiansen, </w:t>
      </w:r>
      <w:r w:rsidRPr="00584336">
        <w:rPr>
          <w:rFonts w:ascii="Times New Roman" w:hAnsi="Times New Roman" w:cs="Times New Roman"/>
          <w:i/>
          <w:iCs/>
        </w:rPr>
        <w:t>Northern Crusades</w:t>
      </w:r>
      <w:r w:rsidRPr="00584336">
        <w:rPr>
          <w:rFonts w:ascii="Times New Roman" w:hAnsi="Times New Roman" w:cs="Times New Roman"/>
        </w:rPr>
        <w:t>, 99-100.</w:t>
      </w:r>
    </w:p>
  </w:footnote>
  <w:footnote w:id="18">
    <w:p w14:paraId="2273D8BA" w14:textId="3BB0BE57"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Urban, </w:t>
      </w:r>
      <w:r w:rsidRPr="00584336">
        <w:rPr>
          <w:rFonts w:ascii="Times New Roman" w:hAnsi="Times New Roman" w:cs="Times New Roman"/>
          <w:i/>
          <w:iCs/>
        </w:rPr>
        <w:t>Teutonic Knights</w:t>
      </w:r>
      <w:r w:rsidRPr="00584336">
        <w:rPr>
          <w:rFonts w:ascii="Times New Roman" w:hAnsi="Times New Roman" w:cs="Times New Roman"/>
        </w:rPr>
        <w:t>, 86-8.</w:t>
      </w:r>
    </w:p>
  </w:footnote>
  <w:footnote w:id="19">
    <w:p w14:paraId="5C792D7F" w14:textId="6238E4DC"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Urban, </w:t>
      </w:r>
      <w:r w:rsidRPr="00584336">
        <w:rPr>
          <w:rFonts w:ascii="Times New Roman" w:hAnsi="Times New Roman" w:cs="Times New Roman"/>
          <w:i/>
          <w:iCs/>
        </w:rPr>
        <w:t>Teutonic Knights</w:t>
      </w:r>
      <w:r w:rsidRPr="00584336">
        <w:rPr>
          <w:rFonts w:ascii="Times New Roman" w:hAnsi="Times New Roman" w:cs="Times New Roman"/>
        </w:rPr>
        <w:t>, 90-1.</w:t>
      </w:r>
    </w:p>
  </w:footnote>
  <w:footnote w:id="20">
    <w:p w14:paraId="7E23ECA3" w14:textId="77777777" w:rsidR="001A283D" w:rsidRPr="00584336" w:rsidRDefault="001A283D" w:rsidP="00180037">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proofErr w:type="spellStart"/>
      <w:r w:rsidRPr="00584336">
        <w:rPr>
          <w:rFonts w:ascii="Times New Roman" w:hAnsi="Times New Roman" w:cs="Times New Roman"/>
        </w:rPr>
        <w:t>Selart</w:t>
      </w:r>
      <w:proofErr w:type="spellEnd"/>
      <w:r w:rsidRPr="00584336">
        <w:rPr>
          <w:rFonts w:ascii="Times New Roman" w:hAnsi="Times New Roman" w:cs="Times New Roman"/>
        </w:rPr>
        <w:t>, “</w:t>
      </w:r>
      <w:r>
        <w:rPr>
          <w:rFonts w:ascii="Times New Roman" w:hAnsi="Times New Roman" w:cs="Times New Roman"/>
        </w:rPr>
        <w:t>Pope</w:t>
      </w:r>
      <w:r w:rsidRPr="00584336">
        <w:rPr>
          <w:rFonts w:ascii="Times New Roman" w:hAnsi="Times New Roman" w:cs="Times New Roman"/>
        </w:rPr>
        <w:t>s and Livonia in the First Half of the Thirteenth Century,” 441.</w:t>
      </w:r>
    </w:p>
  </w:footnote>
  <w:footnote w:id="21">
    <w:p w14:paraId="2FEC4380" w14:textId="51911151"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Christiansen, </w:t>
      </w:r>
      <w:r w:rsidRPr="00584336">
        <w:rPr>
          <w:rFonts w:ascii="Times New Roman" w:hAnsi="Times New Roman" w:cs="Times New Roman"/>
          <w:i/>
          <w:iCs/>
        </w:rPr>
        <w:t>Northern Crusades</w:t>
      </w:r>
      <w:r w:rsidRPr="00584336">
        <w:rPr>
          <w:rFonts w:ascii="Times New Roman" w:hAnsi="Times New Roman" w:cs="Times New Roman"/>
        </w:rPr>
        <w:t>, 112.</w:t>
      </w:r>
    </w:p>
  </w:footnote>
  <w:footnote w:id="22">
    <w:p w14:paraId="73C58A87" w14:textId="4552385A"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Pluskowski, </w:t>
      </w:r>
      <w:r w:rsidRPr="00584336">
        <w:rPr>
          <w:rFonts w:ascii="Times New Roman" w:hAnsi="Times New Roman" w:cs="Times New Roman"/>
          <w:i/>
          <w:iCs/>
        </w:rPr>
        <w:t>Teutonic Knights</w:t>
      </w:r>
      <w:r w:rsidRPr="00584336">
        <w:rPr>
          <w:rFonts w:ascii="Times New Roman" w:hAnsi="Times New Roman" w:cs="Times New Roman"/>
        </w:rPr>
        <w:t>, 76.</w:t>
      </w:r>
    </w:p>
  </w:footnote>
  <w:footnote w:id="23">
    <w:p w14:paraId="5068481B" w14:textId="7E48AC0F"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Janet Martin, </w:t>
      </w:r>
      <w:r w:rsidRPr="00584336">
        <w:rPr>
          <w:rFonts w:ascii="Times New Roman" w:hAnsi="Times New Roman" w:cs="Times New Roman"/>
          <w:i/>
          <w:iCs/>
        </w:rPr>
        <w:t>Medieval Russia: 980-1584</w:t>
      </w:r>
      <w:r w:rsidRPr="00584336">
        <w:rPr>
          <w:rFonts w:ascii="Times New Roman" w:hAnsi="Times New Roman" w:cs="Times New Roman"/>
        </w:rPr>
        <w:t>, 2</w:t>
      </w:r>
      <w:r w:rsidRPr="00584336">
        <w:rPr>
          <w:rFonts w:ascii="Times New Roman" w:hAnsi="Times New Roman" w:cs="Times New Roman"/>
          <w:vertAlign w:val="superscript"/>
        </w:rPr>
        <w:t>nd</w:t>
      </w:r>
      <w:r w:rsidRPr="00584336">
        <w:rPr>
          <w:rFonts w:ascii="Times New Roman" w:hAnsi="Times New Roman" w:cs="Times New Roman"/>
        </w:rPr>
        <w:t xml:space="preserve"> ed. (Cambridge University Press, 2007), 49.</w:t>
      </w:r>
    </w:p>
  </w:footnote>
  <w:footnote w:id="24">
    <w:p w14:paraId="4E801B85" w14:textId="23684A94" w:rsidR="001A283D" w:rsidRPr="00353C07" w:rsidRDefault="001A283D">
      <w:pPr>
        <w:pStyle w:val="FootnoteText"/>
        <w:rPr>
          <w:rFonts w:ascii="Times New Roman" w:hAnsi="Times New Roman" w:cs="Times New Roman"/>
        </w:rPr>
      </w:pPr>
      <w:r>
        <w:tab/>
      </w:r>
      <w:r w:rsidRPr="00353C07">
        <w:rPr>
          <w:rStyle w:val="FootnoteReference"/>
          <w:rFonts w:ascii="Times New Roman" w:hAnsi="Times New Roman" w:cs="Times New Roman"/>
        </w:rPr>
        <w:footnoteRef/>
      </w:r>
      <w:r>
        <w:rPr>
          <w:rFonts w:ascii="Times New Roman" w:hAnsi="Times New Roman" w:cs="Times New Roman"/>
        </w:rPr>
        <w:t>Most of these merchants were from t</w:t>
      </w:r>
      <w:r w:rsidRPr="00353C07">
        <w:rPr>
          <w:rFonts w:ascii="Times New Roman" w:hAnsi="Times New Roman" w:cs="Times New Roman"/>
        </w:rPr>
        <w:t>he Hanseatic League</w:t>
      </w:r>
      <w:r>
        <w:rPr>
          <w:rFonts w:ascii="Times New Roman" w:hAnsi="Times New Roman" w:cs="Times New Roman"/>
        </w:rPr>
        <w:t xml:space="preserve">, </w:t>
      </w:r>
      <w:r w:rsidRPr="00353C07">
        <w:rPr>
          <w:rFonts w:ascii="Times New Roman" w:hAnsi="Times New Roman" w:cs="Times New Roman"/>
        </w:rPr>
        <w:t>a league of merchant cities in Northern Germany and the Baltic</w:t>
      </w:r>
      <w:r>
        <w:rPr>
          <w:rFonts w:ascii="Times New Roman" w:hAnsi="Times New Roman" w:cs="Times New Roman"/>
        </w:rPr>
        <w:t xml:space="preserve">. The League </w:t>
      </w:r>
      <w:r w:rsidRPr="00353C07">
        <w:rPr>
          <w:rFonts w:ascii="Times New Roman" w:hAnsi="Times New Roman" w:cs="Times New Roman"/>
        </w:rPr>
        <w:t xml:space="preserve">was one of the key supporters of the Teutonic Knights in their conquests, as the success of the Teutonic Knights meant that the merchants of the League could </w:t>
      </w:r>
      <w:r>
        <w:rPr>
          <w:rFonts w:ascii="Times New Roman" w:hAnsi="Times New Roman" w:cs="Times New Roman"/>
        </w:rPr>
        <w:t xml:space="preserve">more easily </w:t>
      </w:r>
      <w:r w:rsidRPr="00353C07">
        <w:rPr>
          <w:rFonts w:ascii="Times New Roman" w:hAnsi="Times New Roman" w:cs="Times New Roman"/>
        </w:rPr>
        <w:t>exploit the resources of the conquered regions.</w:t>
      </w:r>
    </w:p>
  </w:footnote>
  <w:footnote w:id="25">
    <w:p w14:paraId="6034D939" w14:textId="017E1495" w:rsidR="001A283D" w:rsidRPr="00584336" w:rsidRDefault="001A283D">
      <w:pPr>
        <w:pStyle w:val="FootnoteText"/>
        <w:rPr>
          <w:rFonts w:ascii="Times New Roman" w:hAnsi="Times New Roman" w:cs="Times New Roman"/>
        </w:rPr>
      </w:pPr>
      <w:r>
        <w:rPr>
          <w:rFonts w:ascii="Times New Roman" w:hAnsi="Times New Roman" w:cs="Times New Roman"/>
        </w:rPr>
        <w:tab/>
      </w:r>
      <w:r w:rsidRPr="00584336">
        <w:rPr>
          <w:rStyle w:val="FootnoteReference"/>
          <w:rFonts w:ascii="Times New Roman" w:hAnsi="Times New Roman" w:cs="Times New Roman"/>
        </w:rPr>
        <w:footnoteRef/>
      </w:r>
      <w:r w:rsidRPr="00584336">
        <w:rPr>
          <w:rFonts w:ascii="Times New Roman" w:hAnsi="Times New Roman" w:cs="Times New Roman"/>
        </w:rPr>
        <w:t xml:space="preserve">Martin, </w:t>
      </w:r>
      <w:r w:rsidRPr="00584336">
        <w:rPr>
          <w:rFonts w:ascii="Times New Roman" w:hAnsi="Times New Roman" w:cs="Times New Roman"/>
          <w:i/>
          <w:iCs/>
        </w:rPr>
        <w:t>Medieval Russia</w:t>
      </w:r>
      <w:r w:rsidRPr="00584336">
        <w:rPr>
          <w:rFonts w:ascii="Times New Roman" w:hAnsi="Times New Roman" w:cs="Times New Roman"/>
        </w:rPr>
        <w:t>, 139-40.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B9F6" w14:textId="016EE94F" w:rsidR="00515491" w:rsidRDefault="00515491" w:rsidP="00CE2F68">
    <w:pPr>
      <w:pStyle w:val="Header"/>
    </w:pPr>
  </w:p>
  <w:p w14:paraId="75F98F04" w14:textId="4FB1BC35" w:rsidR="009823E9" w:rsidRPr="00DD071B" w:rsidRDefault="009823E9" w:rsidP="009823E9">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D445" w14:textId="26102388" w:rsidR="004E0FA5" w:rsidRPr="000578D9" w:rsidRDefault="000578D9">
    <w:pPr>
      <w:pStyle w:val="Header"/>
      <w:jc w:val="right"/>
      <w:rPr>
        <w:rFonts w:ascii="Times New Roman" w:hAnsi="Times New Roman" w:cs="Times New Roman"/>
      </w:rPr>
    </w:pPr>
    <w:r w:rsidRPr="000578D9">
      <w:rPr>
        <w:rFonts w:ascii="Times New Roman" w:hAnsi="Times New Roman" w:cs="Times New Roman"/>
      </w:rPr>
      <w:t xml:space="preserve">Crick </w:t>
    </w:r>
    <w:sdt>
      <w:sdtPr>
        <w:rPr>
          <w:rFonts w:ascii="Times New Roman" w:hAnsi="Times New Roman" w:cs="Times New Roman"/>
        </w:rPr>
        <w:id w:val="-379015876"/>
        <w:docPartObj>
          <w:docPartGallery w:val="Page Numbers (Top of Page)"/>
          <w:docPartUnique/>
        </w:docPartObj>
      </w:sdtPr>
      <w:sdtEndPr>
        <w:rPr>
          <w:noProof/>
        </w:rPr>
      </w:sdtEndPr>
      <w:sdtContent>
        <w:r w:rsidR="004E0FA5" w:rsidRPr="000578D9">
          <w:rPr>
            <w:rFonts w:ascii="Times New Roman" w:hAnsi="Times New Roman" w:cs="Times New Roman"/>
          </w:rPr>
          <w:fldChar w:fldCharType="begin"/>
        </w:r>
        <w:r w:rsidR="004E0FA5" w:rsidRPr="000578D9">
          <w:rPr>
            <w:rFonts w:ascii="Times New Roman" w:hAnsi="Times New Roman" w:cs="Times New Roman"/>
          </w:rPr>
          <w:instrText xml:space="preserve"> PAGE   \* MERGEFORMAT </w:instrText>
        </w:r>
        <w:r w:rsidR="004E0FA5" w:rsidRPr="000578D9">
          <w:rPr>
            <w:rFonts w:ascii="Times New Roman" w:hAnsi="Times New Roman" w:cs="Times New Roman"/>
          </w:rPr>
          <w:fldChar w:fldCharType="separate"/>
        </w:r>
        <w:r w:rsidR="004E0FA5" w:rsidRPr="000578D9">
          <w:rPr>
            <w:rFonts w:ascii="Times New Roman" w:hAnsi="Times New Roman" w:cs="Times New Roman"/>
            <w:noProof/>
          </w:rPr>
          <w:t>2</w:t>
        </w:r>
        <w:r w:rsidR="004E0FA5" w:rsidRPr="000578D9">
          <w:rPr>
            <w:rFonts w:ascii="Times New Roman" w:hAnsi="Times New Roman" w:cs="Times New Roman"/>
            <w:noProof/>
          </w:rPr>
          <w:fldChar w:fldCharType="end"/>
        </w:r>
      </w:sdtContent>
    </w:sdt>
  </w:p>
  <w:p w14:paraId="1D2141BA" w14:textId="77777777" w:rsidR="004E0FA5" w:rsidRPr="00DD071B" w:rsidRDefault="004E0FA5" w:rsidP="009823E9">
    <w:pPr>
      <w:pStyle w:val="Header"/>
      <w:jc w:val="right"/>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AADF" w14:textId="258EC1E4" w:rsidR="00624CB7" w:rsidRPr="000578D9" w:rsidRDefault="00624CB7">
    <w:pPr>
      <w:pStyle w:val="Header"/>
      <w:jc w:val="right"/>
      <w:rPr>
        <w:rFonts w:ascii="Times New Roman" w:hAnsi="Times New Roman" w:cs="Times New Roman"/>
      </w:rPr>
    </w:pPr>
  </w:p>
  <w:p w14:paraId="79D0081F" w14:textId="77777777" w:rsidR="00624CB7" w:rsidRPr="00DD071B" w:rsidRDefault="00624CB7" w:rsidP="009823E9">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21D21"/>
    <w:multiLevelType w:val="hybridMultilevel"/>
    <w:tmpl w:val="8792821C"/>
    <w:lvl w:ilvl="0" w:tplc="9E56D5CC">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C1534A"/>
    <w:multiLevelType w:val="hybridMultilevel"/>
    <w:tmpl w:val="FAD2FABC"/>
    <w:lvl w:ilvl="0" w:tplc="4E101D8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CA68D6"/>
    <w:multiLevelType w:val="hybridMultilevel"/>
    <w:tmpl w:val="1B82BB86"/>
    <w:lvl w:ilvl="0" w:tplc="BB58BB3A">
      <w:start w:val="1"/>
      <w:numFmt w:val="upperRoman"/>
      <w:lvlText w:val="%1."/>
      <w:lvlJc w:val="right"/>
      <w:pPr>
        <w:ind w:left="1440" w:hanging="360"/>
      </w:pPr>
      <w:rPr>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D7F7514"/>
    <w:multiLevelType w:val="hybridMultilevel"/>
    <w:tmpl w:val="24DC96FE"/>
    <w:lvl w:ilvl="0" w:tplc="2FC4D3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53D6519"/>
    <w:multiLevelType w:val="hybridMultilevel"/>
    <w:tmpl w:val="1CD0A49C"/>
    <w:lvl w:ilvl="0" w:tplc="B454ADE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9D356B"/>
    <w:multiLevelType w:val="hybridMultilevel"/>
    <w:tmpl w:val="001A2568"/>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DC00B93"/>
    <w:multiLevelType w:val="hybridMultilevel"/>
    <w:tmpl w:val="1CF428FC"/>
    <w:lvl w:ilvl="0" w:tplc="F984EA9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4207862">
    <w:abstractNumId w:val="3"/>
  </w:num>
  <w:num w:numId="2" w16cid:durableId="2041396773">
    <w:abstractNumId w:val="4"/>
  </w:num>
  <w:num w:numId="3" w16cid:durableId="1734541754">
    <w:abstractNumId w:val="6"/>
  </w:num>
  <w:num w:numId="4" w16cid:durableId="148640246">
    <w:abstractNumId w:val="0"/>
  </w:num>
  <w:num w:numId="5" w16cid:durableId="1758207761">
    <w:abstractNumId w:val="5"/>
  </w:num>
  <w:num w:numId="6" w16cid:durableId="632449323">
    <w:abstractNumId w:val="2"/>
  </w:num>
  <w:num w:numId="7" w16cid:durableId="1878853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45"/>
    <w:rsid w:val="000045D6"/>
    <w:rsid w:val="00006509"/>
    <w:rsid w:val="00006FED"/>
    <w:rsid w:val="00016EA8"/>
    <w:rsid w:val="00020BDF"/>
    <w:rsid w:val="00023141"/>
    <w:rsid w:val="00023946"/>
    <w:rsid w:val="000240EC"/>
    <w:rsid w:val="000268C2"/>
    <w:rsid w:val="00032F20"/>
    <w:rsid w:val="00033076"/>
    <w:rsid w:val="000339F5"/>
    <w:rsid w:val="00034C7A"/>
    <w:rsid w:val="00035444"/>
    <w:rsid w:val="000419DC"/>
    <w:rsid w:val="00043965"/>
    <w:rsid w:val="00046F53"/>
    <w:rsid w:val="00050736"/>
    <w:rsid w:val="0005423C"/>
    <w:rsid w:val="000578D9"/>
    <w:rsid w:val="00057FF2"/>
    <w:rsid w:val="00070AA5"/>
    <w:rsid w:val="000800E2"/>
    <w:rsid w:val="00081EFD"/>
    <w:rsid w:val="00081FA9"/>
    <w:rsid w:val="00083188"/>
    <w:rsid w:val="00086F6E"/>
    <w:rsid w:val="00093C2E"/>
    <w:rsid w:val="00095FC9"/>
    <w:rsid w:val="000A0A7F"/>
    <w:rsid w:val="000A1DF6"/>
    <w:rsid w:val="000A3941"/>
    <w:rsid w:val="000A7477"/>
    <w:rsid w:val="000B1645"/>
    <w:rsid w:val="000C2944"/>
    <w:rsid w:val="000C3047"/>
    <w:rsid w:val="000D029E"/>
    <w:rsid w:val="000D3DBD"/>
    <w:rsid w:val="000D41BC"/>
    <w:rsid w:val="000E416F"/>
    <w:rsid w:val="000F0026"/>
    <w:rsid w:val="000F0D69"/>
    <w:rsid w:val="000F4DDA"/>
    <w:rsid w:val="00100169"/>
    <w:rsid w:val="00100B79"/>
    <w:rsid w:val="001017DC"/>
    <w:rsid w:val="00101B8D"/>
    <w:rsid w:val="00102F7C"/>
    <w:rsid w:val="001047A6"/>
    <w:rsid w:val="001074CD"/>
    <w:rsid w:val="001144F5"/>
    <w:rsid w:val="0012327F"/>
    <w:rsid w:val="00130657"/>
    <w:rsid w:val="00130C9C"/>
    <w:rsid w:val="00132A4E"/>
    <w:rsid w:val="0013416F"/>
    <w:rsid w:val="001347D0"/>
    <w:rsid w:val="001357AF"/>
    <w:rsid w:val="00135B34"/>
    <w:rsid w:val="00137C08"/>
    <w:rsid w:val="001502B5"/>
    <w:rsid w:val="00150CCB"/>
    <w:rsid w:val="00153D2E"/>
    <w:rsid w:val="0015538C"/>
    <w:rsid w:val="00164892"/>
    <w:rsid w:val="001658DA"/>
    <w:rsid w:val="00165B02"/>
    <w:rsid w:val="001668B5"/>
    <w:rsid w:val="001717E6"/>
    <w:rsid w:val="00171C33"/>
    <w:rsid w:val="0017431B"/>
    <w:rsid w:val="00175B48"/>
    <w:rsid w:val="00176831"/>
    <w:rsid w:val="00176D7E"/>
    <w:rsid w:val="00180037"/>
    <w:rsid w:val="00181150"/>
    <w:rsid w:val="001858A4"/>
    <w:rsid w:val="00190048"/>
    <w:rsid w:val="00191856"/>
    <w:rsid w:val="00193B8F"/>
    <w:rsid w:val="0019491E"/>
    <w:rsid w:val="00195083"/>
    <w:rsid w:val="001A1ED6"/>
    <w:rsid w:val="001A283D"/>
    <w:rsid w:val="001A4E7F"/>
    <w:rsid w:val="001B3ECF"/>
    <w:rsid w:val="001B7512"/>
    <w:rsid w:val="001C089E"/>
    <w:rsid w:val="001C135F"/>
    <w:rsid w:val="001C4049"/>
    <w:rsid w:val="001C4D77"/>
    <w:rsid w:val="001C65E5"/>
    <w:rsid w:val="001C6A12"/>
    <w:rsid w:val="001C6F6B"/>
    <w:rsid w:val="001D1CFE"/>
    <w:rsid w:val="001D513E"/>
    <w:rsid w:val="001E0864"/>
    <w:rsid w:val="001E2F0C"/>
    <w:rsid w:val="001E3CD1"/>
    <w:rsid w:val="001E6BDC"/>
    <w:rsid w:val="001F0693"/>
    <w:rsid w:val="001F32C1"/>
    <w:rsid w:val="001F4B3C"/>
    <w:rsid w:val="00202029"/>
    <w:rsid w:val="0020267B"/>
    <w:rsid w:val="002027A9"/>
    <w:rsid w:val="00203A40"/>
    <w:rsid w:val="002077F4"/>
    <w:rsid w:val="00216537"/>
    <w:rsid w:val="0022341B"/>
    <w:rsid w:val="002313E3"/>
    <w:rsid w:val="00231634"/>
    <w:rsid w:val="0023353C"/>
    <w:rsid w:val="002339AC"/>
    <w:rsid w:val="0025293A"/>
    <w:rsid w:val="002609EB"/>
    <w:rsid w:val="00260A98"/>
    <w:rsid w:val="002646A0"/>
    <w:rsid w:val="00265030"/>
    <w:rsid w:val="002650B5"/>
    <w:rsid w:val="002651EC"/>
    <w:rsid w:val="00265213"/>
    <w:rsid w:val="002723AF"/>
    <w:rsid w:val="00277F26"/>
    <w:rsid w:val="0028442D"/>
    <w:rsid w:val="002938BE"/>
    <w:rsid w:val="00295B99"/>
    <w:rsid w:val="00296066"/>
    <w:rsid w:val="00297238"/>
    <w:rsid w:val="002A3285"/>
    <w:rsid w:val="002A7307"/>
    <w:rsid w:val="002A7893"/>
    <w:rsid w:val="002B0B28"/>
    <w:rsid w:val="002B31A4"/>
    <w:rsid w:val="002B4516"/>
    <w:rsid w:val="002C5A08"/>
    <w:rsid w:val="002D08F2"/>
    <w:rsid w:val="002D261F"/>
    <w:rsid w:val="002D2AB0"/>
    <w:rsid w:val="002D316A"/>
    <w:rsid w:val="002E638A"/>
    <w:rsid w:val="002F0032"/>
    <w:rsid w:val="002F31AB"/>
    <w:rsid w:val="002F4539"/>
    <w:rsid w:val="00301B6B"/>
    <w:rsid w:val="00303FC5"/>
    <w:rsid w:val="00304C31"/>
    <w:rsid w:val="00306613"/>
    <w:rsid w:val="00310F52"/>
    <w:rsid w:val="00312C14"/>
    <w:rsid w:val="0031655C"/>
    <w:rsid w:val="003212B1"/>
    <w:rsid w:val="0032317B"/>
    <w:rsid w:val="00326941"/>
    <w:rsid w:val="003278C8"/>
    <w:rsid w:val="00327E0B"/>
    <w:rsid w:val="0033277E"/>
    <w:rsid w:val="003344B1"/>
    <w:rsid w:val="00337879"/>
    <w:rsid w:val="00341A49"/>
    <w:rsid w:val="00344D96"/>
    <w:rsid w:val="00353C07"/>
    <w:rsid w:val="003552AE"/>
    <w:rsid w:val="003612BD"/>
    <w:rsid w:val="003612C8"/>
    <w:rsid w:val="003616EA"/>
    <w:rsid w:val="00362E13"/>
    <w:rsid w:val="00363686"/>
    <w:rsid w:val="00364D3F"/>
    <w:rsid w:val="0036548F"/>
    <w:rsid w:val="00367583"/>
    <w:rsid w:val="0037473A"/>
    <w:rsid w:val="0037667A"/>
    <w:rsid w:val="00387F92"/>
    <w:rsid w:val="00394224"/>
    <w:rsid w:val="003A4161"/>
    <w:rsid w:val="003A688C"/>
    <w:rsid w:val="003B0A8A"/>
    <w:rsid w:val="003B38BA"/>
    <w:rsid w:val="003C3F8D"/>
    <w:rsid w:val="003C4223"/>
    <w:rsid w:val="003D4574"/>
    <w:rsid w:val="003D58F3"/>
    <w:rsid w:val="003E12B4"/>
    <w:rsid w:val="003E40CB"/>
    <w:rsid w:val="003E55BD"/>
    <w:rsid w:val="003E6628"/>
    <w:rsid w:val="003F0315"/>
    <w:rsid w:val="003F1249"/>
    <w:rsid w:val="003F2197"/>
    <w:rsid w:val="003F2AC3"/>
    <w:rsid w:val="003F3799"/>
    <w:rsid w:val="003F47F4"/>
    <w:rsid w:val="003F6A74"/>
    <w:rsid w:val="003F7B3F"/>
    <w:rsid w:val="00406B10"/>
    <w:rsid w:val="004122FF"/>
    <w:rsid w:val="004128D0"/>
    <w:rsid w:val="0042073F"/>
    <w:rsid w:val="00427A0F"/>
    <w:rsid w:val="0043032E"/>
    <w:rsid w:val="0043052F"/>
    <w:rsid w:val="004361A7"/>
    <w:rsid w:val="00436326"/>
    <w:rsid w:val="00442F58"/>
    <w:rsid w:val="0044509C"/>
    <w:rsid w:val="00445A59"/>
    <w:rsid w:val="00455C9D"/>
    <w:rsid w:val="00463449"/>
    <w:rsid w:val="00465832"/>
    <w:rsid w:val="00471104"/>
    <w:rsid w:val="004717C1"/>
    <w:rsid w:val="004745FA"/>
    <w:rsid w:val="004800C4"/>
    <w:rsid w:val="004861AB"/>
    <w:rsid w:val="00492F1B"/>
    <w:rsid w:val="004935A5"/>
    <w:rsid w:val="004947C8"/>
    <w:rsid w:val="00497A5D"/>
    <w:rsid w:val="004A35B1"/>
    <w:rsid w:val="004B11F1"/>
    <w:rsid w:val="004B2792"/>
    <w:rsid w:val="004B75FE"/>
    <w:rsid w:val="004C119E"/>
    <w:rsid w:val="004C17E3"/>
    <w:rsid w:val="004C52D0"/>
    <w:rsid w:val="004C7D58"/>
    <w:rsid w:val="004E0687"/>
    <w:rsid w:val="004E0FA5"/>
    <w:rsid w:val="004E444C"/>
    <w:rsid w:val="004F377D"/>
    <w:rsid w:val="005134BE"/>
    <w:rsid w:val="00515491"/>
    <w:rsid w:val="00522D5E"/>
    <w:rsid w:val="00523F6A"/>
    <w:rsid w:val="005241D1"/>
    <w:rsid w:val="0053004D"/>
    <w:rsid w:val="00530DB7"/>
    <w:rsid w:val="0053643E"/>
    <w:rsid w:val="00536EE4"/>
    <w:rsid w:val="005434B7"/>
    <w:rsid w:val="00545B4B"/>
    <w:rsid w:val="00546B5E"/>
    <w:rsid w:val="00547565"/>
    <w:rsid w:val="00547CD6"/>
    <w:rsid w:val="005511B3"/>
    <w:rsid w:val="005522AC"/>
    <w:rsid w:val="00553D74"/>
    <w:rsid w:val="00560DD5"/>
    <w:rsid w:val="0057010F"/>
    <w:rsid w:val="00571549"/>
    <w:rsid w:val="00573464"/>
    <w:rsid w:val="00580134"/>
    <w:rsid w:val="0058139E"/>
    <w:rsid w:val="00581486"/>
    <w:rsid w:val="00583913"/>
    <w:rsid w:val="00584336"/>
    <w:rsid w:val="00585905"/>
    <w:rsid w:val="00586C36"/>
    <w:rsid w:val="0059300A"/>
    <w:rsid w:val="005A3656"/>
    <w:rsid w:val="005A56F5"/>
    <w:rsid w:val="005A6FBD"/>
    <w:rsid w:val="005B0CFD"/>
    <w:rsid w:val="005B5666"/>
    <w:rsid w:val="005B5A46"/>
    <w:rsid w:val="005C0AA3"/>
    <w:rsid w:val="005C11E8"/>
    <w:rsid w:val="005C506D"/>
    <w:rsid w:val="005C516A"/>
    <w:rsid w:val="005D143D"/>
    <w:rsid w:val="005D73CB"/>
    <w:rsid w:val="005F1228"/>
    <w:rsid w:val="00601A53"/>
    <w:rsid w:val="00606CF9"/>
    <w:rsid w:val="006110B9"/>
    <w:rsid w:val="0061210F"/>
    <w:rsid w:val="00613BD8"/>
    <w:rsid w:val="00614E07"/>
    <w:rsid w:val="00620530"/>
    <w:rsid w:val="00624CB7"/>
    <w:rsid w:val="00626EAE"/>
    <w:rsid w:val="00630ED5"/>
    <w:rsid w:val="00635BBC"/>
    <w:rsid w:val="00635EEC"/>
    <w:rsid w:val="00641346"/>
    <w:rsid w:val="00645D85"/>
    <w:rsid w:val="006638E7"/>
    <w:rsid w:val="00667C9F"/>
    <w:rsid w:val="006738A5"/>
    <w:rsid w:val="00675D06"/>
    <w:rsid w:val="00680606"/>
    <w:rsid w:val="0068099D"/>
    <w:rsid w:val="006827D2"/>
    <w:rsid w:val="00683CD6"/>
    <w:rsid w:val="00694B5F"/>
    <w:rsid w:val="00695D71"/>
    <w:rsid w:val="0069634C"/>
    <w:rsid w:val="006A1732"/>
    <w:rsid w:val="006A441C"/>
    <w:rsid w:val="006B7234"/>
    <w:rsid w:val="006C102D"/>
    <w:rsid w:val="006C2D09"/>
    <w:rsid w:val="006C311D"/>
    <w:rsid w:val="006C31FC"/>
    <w:rsid w:val="006C390C"/>
    <w:rsid w:val="006C3AE2"/>
    <w:rsid w:val="006C3DDF"/>
    <w:rsid w:val="006C5358"/>
    <w:rsid w:val="006D0C57"/>
    <w:rsid w:val="006D29FD"/>
    <w:rsid w:val="006D5BF8"/>
    <w:rsid w:val="006E6B08"/>
    <w:rsid w:val="006F4B99"/>
    <w:rsid w:val="0070408C"/>
    <w:rsid w:val="007069FF"/>
    <w:rsid w:val="00712133"/>
    <w:rsid w:val="0072069D"/>
    <w:rsid w:val="00724511"/>
    <w:rsid w:val="0073017F"/>
    <w:rsid w:val="00731408"/>
    <w:rsid w:val="007344EC"/>
    <w:rsid w:val="007356E5"/>
    <w:rsid w:val="00737261"/>
    <w:rsid w:val="00741955"/>
    <w:rsid w:val="00742DF2"/>
    <w:rsid w:val="00744FE4"/>
    <w:rsid w:val="007504C0"/>
    <w:rsid w:val="00752A47"/>
    <w:rsid w:val="00753A32"/>
    <w:rsid w:val="00760999"/>
    <w:rsid w:val="00761A22"/>
    <w:rsid w:val="00780A11"/>
    <w:rsid w:val="00790994"/>
    <w:rsid w:val="00793CE0"/>
    <w:rsid w:val="00795A7C"/>
    <w:rsid w:val="007960EB"/>
    <w:rsid w:val="007A6AF4"/>
    <w:rsid w:val="007A7F06"/>
    <w:rsid w:val="007B2977"/>
    <w:rsid w:val="007B73FA"/>
    <w:rsid w:val="007C1FBF"/>
    <w:rsid w:val="007C30AB"/>
    <w:rsid w:val="007C63A6"/>
    <w:rsid w:val="007C6BB7"/>
    <w:rsid w:val="007C79FA"/>
    <w:rsid w:val="007D3AD3"/>
    <w:rsid w:val="007E6B1D"/>
    <w:rsid w:val="007F005F"/>
    <w:rsid w:val="007F5327"/>
    <w:rsid w:val="007F7BA5"/>
    <w:rsid w:val="00801892"/>
    <w:rsid w:val="008061CB"/>
    <w:rsid w:val="008111B7"/>
    <w:rsid w:val="00816D5F"/>
    <w:rsid w:val="00817B7A"/>
    <w:rsid w:val="00820712"/>
    <w:rsid w:val="0082113C"/>
    <w:rsid w:val="00822508"/>
    <w:rsid w:val="00822905"/>
    <w:rsid w:val="00823422"/>
    <w:rsid w:val="00825E83"/>
    <w:rsid w:val="00830319"/>
    <w:rsid w:val="008329A6"/>
    <w:rsid w:val="0083368A"/>
    <w:rsid w:val="00834D60"/>
    <w:rsid w:val="00840055"/>
    <w:rsid w:val="00841A77"/>
    <w:rsid w:val="00843F92"/>
    <w:rsid w:val="00852B44"/>
    <w:rsid w:val="00862AD5"/>
    <w:rsid w:val="00863450"/>
    <w:rsid w:val="00865AED"/>
    <w:rsid w:val="00870A89"/>
    <w:rsid w:val="008710BE"/>
    <w:rsid w:val="00884997"/>
    <w:rsid w:val="00890C18"/>
    <w:rsid w:val="00892711"/>
    <w:rsid w:val="00897A93"/>
    <w:rsid w:val="008A5DDE"/>
    <w:rsid w:val="008A76C2"/>
    <w:rsid w:val="008B2AFC"/>
    <w:rsid w:val="008C3569"/>
    <w:rsid w:val="008D0C2F"/>
    <w:rsid w:val="008D4F84"/>
    <w:rsid w:val="008D61B9"/>
    <w:rsid w:val="008E1313"/>
    <w:rsid w:val="008E1BAB"/>
    <w:rsid w:val="008E3B57"/>
    <w:rsid w:val="008E50A5"/>
    <w:rsid w:val="008F5137"/>
    <w:rsid w:val="0090502F"/>
    <w:rsid w:val="00911E39"/>
    <w:rsid w:val="009122FC"/>
    <w:rsid w:val="009167B2"/>
    <w:rsid w:val="00917CFC"/>
    <w:rsid w:val="00922A87"/>
    <w:rsid w:val="00923ACC"/>
    <w:rsid w:val="00924E00"/>
    <w:rsid w:val="009378CD"/>
    <w:rsid w:val="00940C1A"/>
    <w:rsid w:val="009438DA"/>
    <w:rsid w:val="00951C3F"/>
    <w:rsid w:val="00951FA5"/>
    <w:rsid w:val="00953C93"/>
    <w:rsid w:val="0095495C"/>
    <w:rsid w:val="00965BA3"/>
    <w:rsid w:val="00965EBA"/>
    <w:rsid w:val="0096726B"/>
    <w:rsid w:val="00970D0F"/>
    <w:rsid w:val="00975814"/>
    <w:rsid w:val="00976760"/>
    <w:rsid w:val="009823E9"/>
    <w:rsid w:val="0098307D"/>
    <w:rsid w:val="009934BB"/>
    <w:rsid w:val="009935FC"/>
    <w:rsid w:val="00993F17"/>
    <w:rsid w:val="00993FAA"/>
    <w:rsid w:val="00996C95"/>
    <w:rsid w:val="00997363"/>
    <w:rsid w:val="009A1CCD"/>
    <w:rsid w:val="009A389F"/>
    <w:rsid w:val="009A6BE5"/>
    <w:rsid w:val="009A7726"/>
    <w:rsid w:val="009B4FE6"/>
    <w:rsid w:val="009B6D2E"/>
    <w:rsid w:val="009C65E1"/>
    <w:rsid w:val="009D1084"/>
    <w:rsid w:val="009D4F32"/>
    <w:rsid w:val="009D5110"/>
    <w:rsid w:val="009F127D"/>
    <w:rsid w:val="009F13C6"/>
    <w:rsid w:val="009F235F"/>
    <w:rsid w:val="009F6F75"/>
    <w:rsid w:val="00A00D23"/>
    <w:rsid w:val="00A0185E"/>
    <w:rsid w:val="00A02F90"/>
    <w:rsid w:val="00A07ED7"/>
    <w:rsid w:val="00A10253"/>
    <w:rsid w:val="00A15D53"/>
    <w:rsid w:val="00A208C2"/>
    <w:rsid w:val="00A24CA3"/>
    <w:rsid w:val="00A276BF"/>
    <w:rsid w:val="00A277F2"/>
    <w:rsid w:val="00A30FF6"/>
    <w:rsid w:val="00A31B43"/>
    <w:rsid w:val="00A37024"/>
    <w:rsid w:val="00A4423F"/>
    <w:rsid w:val="00A52307"/>
    <w:rsid w:val="00A57951"/>
    <w:rsid w:val="00A61FBF"/>
    <w:rsid w:val="00A63DCB"/>
    <w:rsid w:val="00A704C2"/>
    <w:rsid w:val="00A71435"/>
    <w:rsid w:val="00A80674"/>
    <w:rsid w:val="00A81750"/>
    <w:rsid w:val="00A81A2A"/>
    <w:rsid w:val="00A86340"/>
    <w:rsid w:val="00A86CCE"/>
    <w:rsid w:val="00A925D7"/>
    <w:rsid w:val="00A929F4"/>
    <w:rsid w:val="00A9309E"/>
    <w:rsid w:val="00A94D4D"/>
    <w:rsid w:val="00A953BA"/>
    <w:rsid w:val="00A96694"/>
    <w:rsid w:val="00AA5539"/>
    <w:rsid w:val="00AB11CC"/>
    <w:rsid w:val="00AB3C0C"/>
    <w:rsid w:val="00AB64B9"/>
    <w:rsid w:val="00AC33B6"/>
    <w:rsid w:val="00AC4196"/>
    <w:rsid w:val="00AC7EA2"/>
    <w:rsid w:val="00AD1399"/>
    <w:rsid w:val="00AD2D39"/>
    <w:rsid w:val="00AD4364"/>
    <w:rsid w:val="00AE252A"/>
    <w:rsid w:val="00AE3D16"/>
    <w:rsid w:val="00AE4E27"/>
    <w:rsid w:val="00AF055D"/>
    <w:rsid w:val="00AF0F40"/>
    <w:rsid w:val="00AF22CE"/>
    <w:rsid w:val="00AF31E1"/>
    <w:rsid w:val="00AF7692"/>
    <w:rsid w:val="00AF795C"/>
    <w:rsid w:val="00B12D27"/>
    <w:rsid w:val="00B12F1E"/>
    <w:rsid w:val="00B206EC"/>
    <w:rsid w:val="00B244B0"/>
    <w:rsid w:val="00B251E6"/>
    <w:rsid w:val="00B331A5"/>
    <w:rsid w:val="00B35973"/>
    <w:rsid w:val="00B364E3"/>
    <w:rsid w:val="00B4504B"/>
    <w:rsid w:val="00B45E31"/>
    <w:rsid w:val="00B463CA"/>
    <w:rsid w:val="00B46617"/>
    <w:rsid w:val="00B523FF"/>
    <w:rsid w:val="00B53E5F"/>
    <w:rsid w:val="00B54C88"/>
    <w:rsid w:val="00B63D65"/>
    <w:rsid w:val="00B7432D"/>
    <w:rsid w:val="00B847A8"/>
    <w:rsid w:val="00B90C8F"/>
    <w:rsid w:val="00B95721"/>
    <w:rsid w:val="00BA1782"/>
    <w:rsid w:val="00BA2EEF"/>
    <w:rsid w:val="00BA5E37"/>
    <w:rsid w:val="00BA6216"/>
    <w:rsid w:val="00BA6524"/>
    <w:rsid w:val="00BA7894"/>
    <w:rsid w:val="00BB70CF"/>
    <w:rsid w:val="00BC1CD4"/>
    <w:rsid w:val="00BD21D3"/>
    <w:rsid w:val="00BD4CD8"/>
    <w:rsid w:val="00BD531B"/>
    <w:rsid w:val="00BD53B3"/>
    <w:rsid w:val="00BD5661"/>
    <w:rsid w:val="00BD6237"/>
    <w:rsid w:val="00BD7B74"/>
    <w:rsid w:val="00BE03D7"/>
    <w:rsid w:val="00BE3253"/>
    <w:rsid w:val="00BE5544"/>
    <w:rsid w:val="00BE7A84"/>
    <w:rsid w:val="00BF1E4C"/>
    <w:rsid w:val="00BF4453"/>
    <w:rsid w:val="00BF5F05"/>
    <w:rsid w:val="00BF6E0C"/>
    <w:rsid w:val="00C04E13"/>
    <w:rsid w:val="00C06845"/>
    <w:rsid w:val="00C070C3"/>
    <w:rsid w:val="00C14D12"/>
    <w:rsid w:val="00C16541"/>
    <w:rsid w:val="00C17BE6"/>
    <w:rsid w:val="00C20A51"/>
    <w:rsid w:val="00C26B59"/>
    <w:rsid w:val="00C36F5A"/>
    <w:rsid w:val="00C403DC"/>
    <w:rsid w:val="00C463F8"/>
    <w:rsid w:val="00C47390"/>
    <w:rsid w:val="00C57D85"/>
    <w:rsid w:val="00C811C1"/>
    <w:rsid w:val="00C816D1"/>
    <w:rsid w:val="00C82623"/>
    <w:rsid w:val="00C849C1"/>
    <w:rsid w:val="00C84C2B"/>
    <w:rsid w:val="00C85919"/>
    <w:rsid w:val="00C85FAF"/>
    <w:rsid w:val="00C9162F"/>
    <w:rsid w:val="00C93FA0"/>
    <w:rsid w:val="00CA3C6C"/>
    <w:rsid w:val="00CA4C33"/>
    <w:rsid w:val="00CB034A"/>
    <w:rsid w:val="00CB2374"/>
    <w:rsid w:val="00CC4E3A"/>
    <w:rsid w:val="00CD133B"/>
    <w:rsid w:val="00CD201E"/>
    <w:rsid w:val="00CD6194"/>
    <w:rsid w:val="00CE2669"/>
    <w:rsid w:val="00CE2F68"/>
    <w:rsid w:val="00CE4CD2"/>
    <w:rsid w:val="00CE5068"/>
    <w:rsid w:val="00CF147B"/>
    <w:rsid w:val="00CF1DAB"/>
    <w:rsid w:val="00CF2FC1"/>
    <w:rsid w:val="00CF3817"/>
    <w:rsid w:val="00CF5E17"/>
    <w:rsid w:val="00D07FDC"/>
    <w:rsid w:val="00D12482"/>
    <w:rsid w:val="00D1259C"/>
    <w:rsid w:val="00D12DFB"/>
    <w:rsid w:val="00D23D2F"/>
    <w:rsid w:val="00D26D71"/>
    <w:rsid w:val="00D40543"/>
    <w:rsid w:val="00D42FC7"/>
    <w:rsid w:val="00D43C05"/>
    <w:rsid w:val="00D47530"/>
    <w:rsid w:val="00D52FAD"/>
    <w:rsid w:val="00D539D3"/>
    <w:rsid w:val="00D55B88"/>
    <w:rsid w:val="00D60E30"/>
    <w:rsid w:val="00D61C3F"/>
    <w:rsid w:val="00D63D87"/>
    <w:rsid w:val="00D6716D"/>
    <w:rsid w:val="00D671C1"/>
    <w:rsid w:val="00D67E86"/>
    <w:rsid w:val="00D707E5"/>
    <w:rsid w:val="00D71327"/>
    <w:rsid w:val="00D90263"/>
    <w:rsid w:val="00D9054B"/>
    <w:rsid w:val="00D96372"/>
    <w:rsid w:val="00D96603"/>
    <w:rsid w:val="00DA02F8"/>
    <w:rsid w:val="00DA457C"/>
    <w:rsid w:val="00DA5F31"/>
    <w:rsid w:val="00DB11CE"/>
    <w:rsid w:val="00DB428F"/>
    <w:rsid w:val="00DB53CE"/>
    <w:rsid w:val="00DB779A"/>
    <w:rsid w:val="00DC2977"/>
    <w:rsid w:val="00DC5902"/>
    <w:rsid w:val="00DD071B"/>
    <w:rsid w:val="00DD10CA"/>
    <w:rsid w:val="00DD1C25"/>
    <w:rsid w:val="00DD7B46"/>
    <w:rsid w:val="00DE0221"/>
    <w:rsid w:val="00DF19BC"/>
    <w:rsid w:val="00DF1DD8"/>
    <w:rsid w:val="00DF2753"/>
    <w:rsid w:val="00DF74BD"/>
    <w:rsid w:val="00E044FE"/>
    <w:rsid w:val="00E04D12"/>
    <w:rsid w:val="00E11619"/>
    <w:rsid w:val="00E15F4E"/>
    <w:rsid w:val="00E33FE8"/>
    <w:rsid w:val="00E3631A"/>
    <w:rsid w:val="00E3799F"/>
    <w:rsid w:val="00E4706D"/>
    <w:rsid w:val="00E5555A"/>
    <w:rsid w:val="00E578AD"/>
    <w:rsid w:val="00E64E1E"/>
    <w:rsid w:val="00E707D0"/>
    <w:rsid w:val="00E72269"/>
    <w:rsid w:val="00E76F41"/>
    <w:rsid w:val="00E81ADB"/>
    <w:rsid w:val="00E84C17"/>
    <w:rsid w:val="00E947C4"/>
    <w:rsid w:val="00EA24F2"/>
    <w:rsid w:val="00EA265F"/>
    <w:rsid w:val="00EA7D87"/>
    <w:rsid w:val="00EB6337"/>
    <w:rsid w:val="00EB7041"/>
    <w:rsid w:val="00EB7473"/>
    <w:rsid w:val="00EC7AB6"/>
    <w:rsid w:val="00ED1104"/>
    <w:rsid w:val="00ED4979"/>
    <w:rsid w:val="00ED657B"/>
    <w:rsid w:val="00EE048D"/>
    <w:rsid w:val="00EE1E8E"/>
    <w:rsid w:val="00EF7EC3"/>
    <w:rsid w:val="00F01079"/>
    <w:rsid w:val="00F02E2A"/>
    <w:rsid w:val="00F03CD2"/>
    <w:rsid w:val="00F042C3"/>
    <w:rsid w:val="00F051D9"/>
    <w:rsid w:val="00F059E9"/>
    <w:rsid w:val="00F15C06"/>
    <w:rsid w:val="00F1741E"/>
    <w:rsid w:val="00F2326C"/>
    <w:rsid w:val="00F24C1A"/>
    <w:rsid w:val="00F27559"/>
    <w:rsid w:val="00F32B24"/>
    <w:rsid w:val="00F34257"/>
    <w:rsid w:val="00F3756B"/>
    <w:rsid w:val="00F43452"/>
    <w:rsid w:val="00F45DC7"/>
    <w:rsid w:val="00F53F66"/>
    <w:rsid w:val="00F577A6"/>
    <w:rsid w:val="00F578A0"/>
    <w:rsid w:val="00F57B2D"/>
    <w:rsid w:val="00F70747"/>
    <w:rsid w:val="00F76F87"/>
    <w:rsid w:val="00F85685"/>
    <w:rsid w:val="00F858B5"/>
    <w:rsid w:val="00F85D07"/>
    <w:rsid w:val="00F96C97"/>
    <w:rsid w:val="00FA07CD"/>
    <w:rsid w:val="00FA6509"/>
    <w:rsid w:val="00FB0C8F"/>
    <w:rsid w:val="00FB206F"/>
    <w:rsid w:val="00FC65D6"/>
    <w:rsid w:val="00FC7CD8"/>
    <w:rsid w:val="00FC7D19"/>
    <w:rsid w:val="00FD046B"/>
    <w:rsid w:val="00FD0F52"/>
    <w:rsid w:val="00FD19B7"/>
    <w:rsid w:val="00FD3B88"/>
    <w:rsid w:val="00FE47C9"/>
    <w:rsid w:val="00FE6581"/>
    <w:rsid w:val="00FF51AD"/>
    <w:rsid w:val="00FF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3B448"/>
  <w15:chartTrackingRefBased/>
  <w15:docId w15:val="{C30079C4-982F-4E82-8BFB-42F1C081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6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6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6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6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6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6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6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645"/>
    <w:rPr>
      <w:rFonts w:eastAsiaTheme="majorEastAsia" w:cstheme="majorBidi"/>
      <w:color w:val="272727" w:themeColor="text1" w:themeTint="D8"/>
    </w:rPr>
  </w:style>
  <w:style w:type="paragraph" w:styleId="Title">
    <w:name w:val="Title"/>
    <w:basedOn w:val="Normal"/>
    <w:next w:val="Normal"/>
    <w:link w:val="TitleChar"/>
    <w:uiPriority w:val="10"/>
    <w:qFormat/>
    <w:rsid w:val="000B1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645"/>
    <w:pPr>
      <w:spacing w:before="160"/>
      <w:jc w:val="center"/>
    </w:pPr>
    <w:rPr>
      <w:i/>
      <w:iCs/>
      <w:color w:val="404040" w:themeColor="text1" w:themeTint="BF"/>
    </w:rPr>
  </w:style>
  <w:style w:type="character" w:customStyle="1" w:styleId="QuoteChar">
    <w:name w:val="Quote Char"/>
    <w:basedOn w:val="DefaultParagraphFont"/>
    <w:link w:val="Quote"/>
    <w:uiPriority w:val="29"/>
    <w:rsid w:val="000B1645"/>
    <w:rPr>
      <w:i/>
      <w:iCs/>
      <w:color w:val="404040" w:themeColor="text1" w:themeTint="BF"/>
    </w:rPr>
  </w:style>
  <w:style w:type="paragraph" w:styleId="ListParagraph">
    <w:name w:val="List Paragraph"/>
    <w:basedOn w:val="Normal"/>
    <w:uiPriority w:val="34"/>
    <w:qFormat/>
    <w:rsid w:val="000B1645"/>
    <w:pPr>
      <w:ind w:left="720"/>
      <w:contextualSpacing/>
    </w:pPr>
  </w:style>
  <w:style w:type="character" w:styleId="IntenseEmphasis">
    <w:name w:val="Intense Emphasis"/>
    <w:basedOn w:val="DefaultParagraphFont"/>
    <w:uiPriority w:val="21"/>
    <w:qFormat/>
    <w:rsid w:val="000B1645"/>
    <w:rPr>
      <w:i/>
      <w:iCs/>
      <w:color w:val="0F4761" w:themeColor="accent1" w:themeShade="BF"/>
    </w:rPr>
  </w:style>
  <w:style w:type="paragraph" w:styleId="IntenseQuote">
    <w:name w:val="Intense Quote"/>
    <w:basedOn w:val="Normal"/>
    <w:next w:val="Normal"/>
    <w:link w:val="IntenseQuoteChar"/>
    <w:uiPriority w:val="30"/>
    <w:qFormat/>
    <w:rsid w:val="000B1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645"/>
    <w:rPr>
      <w:i/>
      <w:iCs/>
      <w:color w:val="0F4761" w:themeColor="accent1" w:themeShade="BF"/>
    </w:rPr>
  </w:style>
  <w:style w:type="character" w:styleId="IntenseReference">
    <w:name w:val="Intense Reference"/>
    <w:basedOn w:val="DefaultParagraphFont"/>
    <w:uiPriority w:val="32"/>
    <w:qFormat/>
    <w:rsid w:val="000B1645"/>
    <w:rPr>
      <w:b/>
      <w:bCs/>
      <w:smallCaps/>
      <w:color w:val="0F4761" w:themeColor="accent1" w:themeShade="BF"/>
      <w:spacing w:val="5"/>
    </w:rPr>
  </w:style>
  <w:style w:type="paragraph" w:styleId="Header">
    <w:name w:val="header"/>
    <w:basedOn w:val="Normal"/>
    <w:link w:val="HeaderChar"/>
    <w:uiPriority w:val="99"/>
    <w:unhideWhenUsed/>
    <w:rsid w:val="00982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3E9"/>
  </w:style>
  <w:style w:type="paragraph" w:styleId="Footer">
    <w:name w:val="footer"/>
    <w:basedOn w:val="Normal"/>
    <w:link w:val="FooterChar"/>
    <w:uiPriority w:val="99"/>
    <w:unhideWhenUsed/>
    <w:rsid w:val="00982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3E9"/>
  </w:style>
  <w:style w:type="character" w:styleId="Hyperlink">
    <w:name w:val="Hyperlink"/>
    <w:basedOn w:val="DefaultParagraphFont"/>
    <w:uiPriority w:val="99"/>
    <w:unhideWhenUsed/>
    <w:rsid w:val="007344EC"/>
    <w:rPr>
      <w:color w:val="467886" w:themeColor="hyperlink"/>
      <w:u w:val="single"/>
    </w:rPr>
  </w:style>
  <w:style w:type="character" w:styleId="UnresolvedMention">
    <w:name w:val="Unresolved Mention"/>
    <w:basedOn w:val="DefaultParagraphFont"/>
    <w:uiPriority w:val="99"/>
    <w:semiHidden/>
    <w:unhideWhenUsed/>
    <w:rsid w:val="007344EC"/>
    <w:rPr>
      <w:color w:val="605E5C"/>
      <w:shd w:val="clear" w:color="auto" w:fill="E1DFDD"/>
    </w:rPr>
  </w:style>
  <w:style w:type="paragraph" w:styleId="FootnoteText">
    <w:name w:val="footnote text"/>
    <w:basedOn w:val="Normal"/>
    <w:link w:val="FootnoteTextChar"/>
    <w:uiPriority w:val="99"/>
    <w:semiHidden/>
    <w:unhideWhenUsed/>
    <w:rsid w:val="001357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57AF"/>
    <w:rPr>
      <w:sz w:val="20"/>
      <w:szCs w:val="20"/>
    </w:rPr>
  </w:style>
  <w:style w:type="character" w:styleId="FootnoteReference">
    <w:name w:val="footnote reference"/>
    <w:basedOn w:val="DefaultParagraphFont"/>
    <w:uiPriority w:val="99"/>
    <w:semiHidden/>
    <w:unhideWhenUsed/>
    <w:rsid w:val="001357AF"/>
    <w:rPr>
      <w:vertAlign w:val="superscript"/>
    </w:rPr>
  </w:style>
  <w:style w:type="paragraph" w:styleId="EndnoteText">
    <w:name w:val="endnote text"/>
    <w:basedOn w:val="Normal"/>
    <w:link w:val="EndnoteTextChar"/>
    <w:uiPriority w:val="99"/>
    <w:semiHidden/>
    <w:unhideWhenUsed/>
    <w:rsid w:val="006638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38E7"/>
    <w:rPr>
      <w:sz w:val="20"/>
      <w:szCs w:val="20"/>
    </w:rPr>
  </w:style>
  <w:style w:type="character" w:styleId="EndnoteReference">
    <w:name w:val="endnote reference"/>
    <w:basedOn w:val="DefaultParagraphFont"/>
    <w:uiPriority w:val="99"/>
    <w:semiHidden/>
    <w:unhideWhenUsed/>
    <w:rsid w:val="006638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FC3D8-71F1-4972-AE9C-2F779011E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5567</TotalTime>
  <Pages>14</Pages>
  <Words>2734</Words>
  <Characters>15587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Crick</dc:creator>
  <cp:keywords/>
  <dc:description/>
  <cp:lastModifiedBy>Dean Crick</cp:lastModifiedBy>
  <cp:revision>656</cp:revision>
  <dcterms:created xsi:type="dcterms:W3CDTF">2026-04-05T23:57:00Z</dcterms:created>
  <dcterms:modified xsi:type="dcterms:W3CDTF">2026-04-24T04:04:00Z</dcterms:modified>
</cp:coreProperties>
</file>